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E6" w:rsidRDefault="00B84AE6" w:rsidP="00B84A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Uchwała  Nr 2/2020-2024</w:t>
      </w:r>
    </w:p>
    <w:p w:rsidR="002A74C6" w:rsidRDefault="00B84AE6" w:rsidP="00B84AE6">
      <w:pPr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b/>
          <w:bCs/>
          <w:sz w:val="28"/>
          <w:szCs w:val="28"/>
        </w:rPr>
        <w:t xml:space="preserve">Podkomisji Wyborczej </w:t>
      </w:r>
      <w:r>
        <w:rPr>
          <w:rFonts w:eastAsia="Times New Roman"/>
          <w:b/>
          <w:sz w:val="28"/>
          <w:szCs w:val="28"/>
          <w:lang w:eastAsia="pl-PL"/>
        </w:rPr>
        <w:t>do spraw wyborów w Wydziale Nauk Społecznych</w:t>
      </w:r>
    </w:p>
    <w:p w:rsidR="00B84AE6" w:rsidRDefault="00B84AE6" w:rsidP="00B84AE6">
      <w:pPr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 xml:space="preserve"> z dnia 28 maja 2020 r.</w:t>
      </w:r>
    </w:p>
    <w:p w:rsidR="00B84AE6" w:rsidRDefault="00B84AE6" w:rsidP="00B84AE6">
      <w:pPr>
        <w:jc w:val="both"/>
        <w:rPr>
          <w:b/>
          <w:bCs/>
          <w:sz w:val="28"/>
          <w:szCs w:val="28"/>
        </w:rPr>
      </w:pPr>
    </w:p>
    <w:p w:rsidR="00B84AE6" w:rsidRDefault="00B84AE6" w:rsidP="00B84AE6">
      <w:pPr>
        <w:jc w:val="both"/>
        <w:rPr>
          <w:b/>
          <w:bCs/>
          <w:szCs w:val="24"/>
        </w:rPr>
      </w:pPr>
    </w:p>
    <w:p w:rsidR="002A74C6" w:rsidRDefault="00B84AE6" w:rsidP="002A74C6">
      <w:pPr>
        <w:widowControl/>
        <w:overflowPunct w:val="0"/>
        <w:autoSpaceDE w:val="0"/>
        <w:autoSpaceDN w:val="0"/>
        <w:adjustRightInd w:val="0"/>
        <w:spacing w:line="100" w:lineRule="atLeast"/>
        <w:ind w:firstLine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Podkomisja  Wyborcza do spraw wyborów na Wydziale Nauk Społecznych, działająca </w:t>
      </w:r>
      <w:r>
        <w:rPr>
          <w:rFonts w:eastAsia="Times New Roman"/>
          <w:lang w:eastAsia="pl-PL"/>
        </w:rPr>
        <w:br/>
        <w:t>w składzie: dr Andrzej Kwiatkowski, dr Wiesław Jaszczur, mgr Maria Makowska,</w:t>
      </w:r>
      <w:r w:rsidR="003F242B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powołana Decyzją Nr 1 Przewodniczącego Uczelnianej Komisji Wyborczej z dnia  12 marca 2020 roku w związku z Zarządzeniem Nr 0300.23.V.2020 Rektora PWSZ w Kaliszu z dnia 28 lutego 2020 r., i  na podstawie Statutu ( tekst jednolity z 27.02.2020 r. – uchwała Senatu nr 0012.3502020 ), Ordynacji Wyborczej uchwalonej przez Senat ( Uchwała nr 0012V.2020 z 27 marca 2020 r. ) oraz Decyzji Nr 3/2020 Przewodniczącego UKW z dnia 6 maja 2020 r. o trybie elektronicznego procedowania uchwał na odległość </w:t>
      </w:r>
    </w:p>
    <w:p w:rsidR="00B84AE6" w:rsidRPr="002A74C6" w:rsidRDefault="00B84AE6" w:rsidP="002A74C6">
      <w:pPr>
        <w:widowControl/>
        <w:overflowPunct w:val="0"/>
        <w:autoSpaceDE w:val="0"/>
        <w:autoSpaceDN w:val="0"/>
        <w:adjustRightInd w:val="0"/>
        <w:spacing w:line="100" w:lineRule="atLeast"/>
        <w:jc w:val="both"/>
        <w:rPr>
          <w:rFonts w:eastAsia="Times New Roman"/>
          <w:u w:val="single"/>
          <w:lang w:eastAsia="pl-PL"/>
        </w:rPr>
      </w:pPr>
      <w:r w:rsidRPr="002A74C6">
        <w:rPr>
          <w:rFonts w:eastAsia="Times New Roman"/>
          <w:u w:val="single"/>
          <w:lang w:eastAsia="pl-PL"/>
        </w:rPr>
        <w:t>podejmuje uchwałę w następującym zakresie:</w:t>
      </w:r>
    </w:p>
    <w:p w:rsidR="00B84AE6" w:rsidRPr="002A74C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jc w:val="both"/>
        <w:rPr>
          <w:rFonts w:eastAsia="Times New Roman"/>
          <w:u w:val="single"/>
          <w:lang w:eastAsia="pl-PL"/>
        </w:rPr>
      </w:pPr>
    </w:p>
    <w:p w:rsidR="00B84AE6" w:rsidRDefault="00185B54" w:rsidP="003F242B">
      <w:pPr>
        <w:spacing w:line="100" w:lineRule="atLeast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I. Przekazania danych  kandydatów</w:t>
      </w:r>
      <w:r w:rsidR="00B84AE6">
        <w:rPr>
          <w:rFonts w:eastAsia="Times New Roman"/>
          <w:lang w:eastAsia="pl-PL"/>
        </w:rPr>
        <w:t xml:space="preserve">,  zgłoszonych do Kolegium Elektorów i Senatu w niżej wyszczególnionych grupach pracowników Wydziału Nauk Społecznych: </w:t>
      </w: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jc w:val="both"/>
        <w:rPr>
          <w:rFonts w:eastAsia="Times New Roman"/>
          <w:lang w:eastAsia="pl-PL"/>
        </w:rPr>
      </w:pPr>
    </w:p>
    <w:p w:rsidR="00B84AE6" w:rsidRDefault="00B84AE6" w:rsidP="003F242B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100" w:lineRule="atLeast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Kolegium Elektorów:</w:t>
      </w: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ind w:left="720"/>
        <w:contextualSpacing/>
        <w:jc w:val="both"/>
        <w:rPr>
          <w:rFonts w:eastAsia="Times New Roman"/>
          <w:lang w:eastAsia="pl-PL"/>
        </w:rPr>
      </w:pPr>
    </w:p>
    <w:p w:rsidR="00B84AE6" w:rsidRDefault="00B84AE6" w:rsidP="003F242B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100" w:lineRule="atLeast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nauczyciele akademiccy, posiadający  stopień co najmniej dra:</w:t>
      </w: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ind w:left="1080"/>
        <w:contextualSpacing/>
        <w:jc w:val="both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dr Adam Plichta,</w:t>
      </w: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ind w:left="1080"/>
        <w:contextualSpacing/>
        <w:jc w:val="both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dr Leszek Szczupak;</w:t>
      </w: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ind w:left="1080"/>
        <w:contextualSpacing/>
        <w:jc w:val="both"/>
        <w:rPr>
          <w:rFonts w:eastAsia="Times New Roman"/>
          <w:b/>
          <w:lang w:eastAsia="pl-PL"/>
        </w:rPr>
      </w:pPr>
    </w:p>
    <w:p w:rsidR="00B84AE6" w:rsidRDefault="00B84AE6" w:rsidP="003F242B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100" w:lineRule="atLeast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nauczyciele akademiccy pozostali (poniżej stopnia dra):</w:t>
      </w: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ind w:left="1080"/>
        <w:contextualSpacing/>
        <w:jc w:val="both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mgr Janusz Przybył.</w:t>
      </w: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ind w:left="1080"/>
        <w:contextualSpacing/>
        <w:jc w:val="both"/>
        <w:rPr>
          <w:rFonts w:eastAsia="Times New Roman"/>
          <w:b/>
          <w:sz w:val="28"/>
          <w:szCs w:val="28"/>
          <w:lang w:eastAsia="pl-PL"/>
        </w:rPr>
      </w:pPr>
    </w:p>
    <w:p w:rsidR="00B84AE6" w:rsidRDefault="00B84AE6" w:rsidP="003F242B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100" w:lineRule="atLeast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Senat:</w:t>
      </w: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ind w:left="720"/>
        <w:contextualSpacing/>
        <w:jc w:val="both"/>
        <w:rPr>
          <w:rFonts w:eastAsia="Times New Roman"/>
          <w:lang w:eastAsia="pl-PL"/>
        </w:rPr>
      </w:pPr>
    </w:p>
    <w:p w:rsidR="00B84AE6" w:rsidRDefault="00B84AE6" w:rsidP="003F242B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100" w:lineRule="atLeast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nauczyciele akademiccy, posiadający  stopień co najmniej dra hab.:</w:t>
      </w: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ind w:left="1080"/>
        <w:contextualSpacing/>
        <w:jc w:val="both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dr hab. Mirosław Skarżyński,</w:t>
      </w: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ind w:left="1080"/>
        <w:contextualSpacing/>
        <w:jc w:val="both"/>
        <w:rPr>
          <w:rFonts w:eastAsia="Times New Roman"/>
          <w:b/>
          <w:sz w:val="28"/>
          <w:szCs w:val="28"/>
          <w:lang w:eastAsia="pl-PL"/>
        </w:rPr>
      </w:pPr>
    </w:p>
    <w:p w:rsidR="00B84AE6" w:rsidRDefault="00B84AE6" w:rsidP="003F242B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100" w:lineRule="atLeast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nauczyciele akademiccy, posiadający stopień dra:</w:t>
      </w: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ind w:left="1080"/>
        <w:contextualSpacing/>
        <w:jc w:val="both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dr Anna Ludwiczak,</w:t>
      </w: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ind w:left="1080"/>
        <w:contextualSpacing/>
        <w:jc w:val="both"/>
        <w:rPr>
          <w:rFonts w:eastAsia="Times New Roman"/>
          <w:b/>
          <w:sz w:val="28"/>
          <w:szCs w:val="28"/>
          <w:lang w:eastAsia="pl-PL"/>
        </w:rPr>
      </w:pPr>
    </w:p>
    <w:p w:rsidR="00B84AE6" w:rsidRDefault="00B84AE6" w:rsidP="003F242B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100" w:lineRule="atLeast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nauczyciele akademiccy pozostali (poniżej stopnia dra):</w:t>
      </w: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ind w:left="1080"/>
        <w:contextualSpacing/>
        <w:jc w:val="both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mgr Olga Czekalska - Kubisiak</w:t>
      </w: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ind w:left="1080"/>
        <w:contextualSpacing/>
        <w:jc w:val="both"/>
        <w:rPr>
          <w:rFonts w:eastAsia="Times New Roman"/>
          <w:b/>
          <w:sz w:val="28"/>
          <w:szCs w:val="28"/>
          <w:lang w:eastAsia="pl-PL"/>
        </w:rPr>
      </w:pP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ind w:left="1080" w:hanging="1080"/>
        <w:contextualSpacing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II. o terminach i sposobie głosowania:</w:t>
      </w: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ind w:left="1080" w:hanging="1080"/>
        <w:contextualSpacing/>
        <w:jc w:val="both"/>
        <w:rPr>
          <w:rFonts w:eastAsia="Times New Roman"/>
          <w:szCs w:val="24"/>
          <w:lang w:eastAsia="pl-PL"/>
        </w:rPr>
      </w:pPr>
    </w:p>
    <w:p w:rsidR="00B84AE6" w:rsidRPr="00185B54" w:rsidRDefault="00185B54" w:rsidP="003F242B">
      <w:pPr>
        <w:pStyle w:val="Akapitzlist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100" w:lineRule="atLeast"/>
        <w:ind w:left="0" w:firstLine="360"/>
        <w:jc w:val="both"/>
        <w:rPr>
          <w:rFonts w:eastAsia="Times New Roman"/>
          <w:szCs w:val="24"/>
          <w:lang w:eastAsia="pl-PL"/>
        </w:rPr>
      </w:pPr>
      <w:r w:rsidRPr="00185B54">
        <w:rPr>
          <w:rFonts w:eastAsia="Times New Roman"/>
          <w:szCs w:val="24"/>
          <w:lang w:eastAsia="pl-PL"/>
        </w:rPr>
        <w:t>Wybór następuje</w:t>
      </w:r>
      <w:r w:rsidR="00B84AE6" w:rsidRPr="00185B54">
        <w:rPr>
          <w:rFonts w:eastAsia="Times New Roman"/>
          <w:szCs w:val="24"/>
          <w:lang w:eastAsia="pl-PL"/>
        </w:rPr>
        <w:t xml:space="preserve"> spośród podanych grup kandydatów: 1. a. – </w:t>
      </w:r>
      <w:r w:rsidRPr="00185B54">
        <w:rPr>
          <w:rFonts w:eastAsia="Times New Roman"/>
          <w:b/>
          <w:szCs w:val="24"/>
          <w:lang w:eastAsia="pl-PL"/>
        </w:rPr>
        <w:t>dwie osoby</w:t>
      </w:r>
      <w:r w:rsidR="00B84AE6" w:rsidRPr="00185B54">
        <w:rPr>
          <w:rFonts w:eastAsia="Times New Roman"/>
          <w:szCs w:val="24"/>
          <w:lang w:eastAsia="pl-PL"/>
        </w:rPr>
        <w:t xml:space="preserve">; 1.b. – </w:t>
      </w:r>
      <w:r w:rsidRPr="00185B54">
        <w:rPr>
          <w:rFonts w:eastAsia="Times New Roman"/>
          <w:b/>
          <w:szCs w:val="24"/>
          <w:lang w:eastAsia="pl-PL"/>
        </w:rPr>
        <w:t>jedna osoba</w:t>
      </w:r>
      <w:r w:rsidRPr="00185B54">
        <w:rPr>
          <w:rFonts w:eastAsia="Times New Roman"/>
          <w:szCs w:val="24"/>
          <w:lang w:eastAsia="pl-PL"/>
        </w:rPr>
        <w:t xml:space="preserve">; </w:t>
      </w:r>
      <w:r w:rsidR="00B84AE6" w:rsidRPr="00185B54">
        <w:rPr>
          <w:rFonts w:eastAsia="Times New Roman"/>
          <w:szCs w:val="24"/>
          <w:lang w:eastAsia="pl-PL"/>
        </w:rPr>
        <w:t xml:space="preserve">2.a. – </w:t>
      </w:r>
      <w:r w:rsidRPr="00185B54">
        <w:rPr>
          <w:rFonts w:eastAsia="Times New Roman"/>
          <w:b/>
          <w:szCs w:val="24"/>
          <w:lang w:eastAsia="pl-PL"/>
        </w:rPr>
        <w:t>jedna osoba</w:t>
      </w:r>
      <w:r w:rsidR="00B84AE6" w:rsidRPr="00185B54">
        <w:rPr>
          <w:rFonts w:eastAsia="Times New Roman"/>
          <w:szCs w:val="24"/>
          <w:lang w:eastAsia="pl-PL"/>
        </w:rPr>
        <w:t xml:space="preserve">; 2.b. – </w:t>
      </w:r>
      <w:r w:rsidRPr="00185B54">
        <w:rPr>
          <w:rFonts w:eastAsia="Times New Roman"/>
          <w:b/>
          <w:szCs w:val="24"/>
          <w:lang w:eastAsia="pl-PL"/>
        </w:rPr>
        <w:t>jedna osoba</w:t>
      </w:r>
      <w:r w:rsidR="00B84AE6" w:rsidRPr="00185B54">
        <w:rPr>
          <w:rFonts w:eastAsia="Times New Roman"/>
          <w:szCs w:val="24"/>
          <w:lang w:eastAsia="pl-PL"/>
        </w:rPr>
        <w:t xml:space="preserve">; 2. C. – </w:t>
      </w:r>
      <w:r w:rsidRPr="00185B54">
        <w:rPr>
          <w:rFonts w:eastAsia="Times New Roman"/>
          <w:b/>
          <w:szCs w:val="24"/>
          <w:lang w:eastAsia="pl-PL"/>
        </w:rPr>
        <w:t>jedna osoba</w:t>
      </w:r>
      <w:r w:rsidR="00B84AE6" w:rsidRPr="00185B54">
        <w:rPr>
          <w:rFonts w:eastAsia="Times New Roman"/>
          <w:b/>
          <w:szCs w:val="24"/>
          <w:lang w:eastAsia="pl-PL"/>
        </w:rPr>
        <w:t>.  (</w:t>
      </w:r>
      <w:r w:rsidR="00B84AE6" w:rsidRPr="00185B54">
        <w:rPr>
          <w:rFonts w:eastAsia="Times New Roman"/>
          <w:szCs w:val="24"/>
          <w:lang w:eastAsia="pl-PL"/>
        </w:rPr>
        <w:t>Liczba kandydatów równa się liczbie mandatów).</w:t>
      </w:r>
    </w:p>
    <w:p w:rsidR="00185B54" w:rsidRPr="00185B54" w:rsidRDefault="00185B54" w:rsidP="003F242B">
      <w:pPr>
        <w:pStyle w:val="Akapitzlist"/>
        <w:widowControl/>
        <w:overflowPunct w:val="0"/>
        <w:autoSpaceDE w:val="0"/>
        <w:autoSpaceDN w:val="0"/>
        <w:adjustRightInd w:val="0"/>
        <w:spacing w:line="100" w:lineRule="atLeast"/>
        <w:ind w:left="0" w:firstLine="360"/>
        <w:jc w:val="both"/>
        <w:rPr>
          <w:rFonts w:eastAsia="Times New Roman"/>
          <w:szCs w:val="24"/>
          <w:lang w:eastAsia="pl-PL"/>
        </w:rPr>
      </w:pP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ind w:left="1080" w:hanging="108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B. Liczba osób, uprawnionych do głosowania do Kolegium Elektorów</w:t>
      </w:r>
      <w:r w:rsidR="00CD4FE8">
        <w:rPr>
          <w:rFonts w:eastAsia="Times New Roman"/>
          <w:szCs w:val="24"/>
          <w:lang w:eastAsia="pl-PL"/>
        </w:rPr>
        <w:t xml:space="preserve"> wynosi</w:t>
      </w:r>
      <w:r>
        <w:rPr>
          <w:rFonts w:eastAsia="Times New Roman"/>
          <w:szCs w:val="24"/>
          <w:lang w:eastAsia="pl-PL"/>
        </w:rPr>
        <w:t>:</w:t>
      </w: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ind w:left="1080" w:hanging="108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-w grupie, określonej jako </w:t>
      </w:r>
      <w:r w:rsidR="00185B54">
        <w:rPr>
          <w:rFonts w:eastAsia="Times New Roman"/>
          <w:szCs w:val="24"/>
          <w:lang w:eastAsia="pl-PL"/>
        </w:rPr>
        <w:t>1.a.           - 30</w:t>
      </w:r>
      <w:r>
        <w:rPr>
          <w:rFonts w:eastAsia="Times New Roman"/>
          <w:szCs w:val="24"/>
          <w:lang w:eastAsia="pl-PL"/>
        </w:rPr>
        <w:t>;</w:t>
      </w: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ind w:left="1080" w:hanging="108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-      „           </w:t>
      </w:r>
      <w:r w:rsidR="00185B54">
        <w:rPr>
          <w:rFonts w:eastAsia="Times New Roman"/>
          <w:szCs w:val="24"/>
          <w:lang w:eastAsia="pl-PL"/>
        </w:rPr>
        <w:t xml:space="preserve">      „</w:t>
      </w:r>
      <w:r w:rsidR="00185B54">
        <w:rPr>
          <w:rFonts w:eastAsia="Times New Roman"/>
          <w:szCs w:val="24"/>
          <w:lang w:eastAsia="pl-PL"/>
        </w:rPr>
        <w:tab/>
        <w:t xml:space="preserve">   „   1.b.  i 2.c. - 15</w:t>
      </w:r>
      <w:r>
        <w:rPr>
          <w:rFonts w:eastAsia="Times New Roman"/>
          <w:szCs w:val="24"/>
          <w:lang w:eastAsia="pl-PL"/>
        </w:rPr>
        <w:t>;</w:t>
      </w: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ind w:left="1080" w:hanging="108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-      „                 „  </w:t>
      </w:r>
      <w:r w:rsidR="00185B54">
        <w:rPr>
          <w:rFonts w:eastAsia="Times New Roman"/>
          <w:szCs w:val="24"/>
          <w:lang w:eastAsia="pl-PL"/>
        </w:rPr>
        <w:t xml:space="preserve">         „   2.a.           - 12</w:t>
      </w:r>
      <w:r>
        <w:rPr>
          <w:rFonts w:eastAsia="Times New Roman"/>
          <w:szCs w:val="24"/>
          <w:lang w:eastAsia="pl-PL"/>
        </w:rPr>
        <w:t>;</w:t>
      </w: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ind w:left="1080" w:hanging="108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 xml:space="preserve">-      „                 „  </w:t>
      </w:r>
      <w:r w:rsidR="00CD4FE8">
        <w:rPr>
          <w:rFonts w:eastAsia="Times New Roman"/>
          <w:szCs w:val="24"/>
          <w:lang w:eastAsia="pl-PL"/>
        </w:rPr>
        <w:t xml:space="preserve">         „   2.b.           –18</w:t>
      </w:r>
      <w:r>
        <w:rPr>
          <w:rFonts w:eastAsia="Times New Roman"/>
          <w:szCs w:val="24"/>
          <w:lang w:eastAsia="pl-PL"/>
        </w:rPr>
        <w:t>.</w:t>
      </w: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ind w:left="1080" w:hanging="1080"/>
        <w:contextualSpacing/>
        <w:jc w:val="both"/>
        <w:rPr>
          <w:rFonts w:eastAsia="Times New Roman"/>
          <w:szCs w:val="24"/>
          <w:lang w:eastAsia="pl-PL"/>
        </w:rPr>
      </w:pP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C. Data wysłania zaproszeń do głosowania: </w:t>
      </w:r>
      <w:r w:rsidRPr="002A74C6">
        <w:rPr>
          <w:rFonts w:eastAsia="Times New Roman"/>
          <w:b/>
          <w:szCs w:val="24"/>
          <w:lang w:eastAsia="pl-PL"/>
        </w:rPr>
        <w:t>2 czerwca 2020 r. do godz. 10,00</w:t>
      </w:r>
      <w:r>
        <w:rPr>
          <w:rFonts w:eastAsia="Times New Roman"/>
          <w:szCs w:val="24"/>
          <w:lang w:eastAsia="pl-PL"/>
        </w:rPr>
        <w:t xml:space="preserve">. W przypadku nieotrzymania zaproszenia należy powiadomić Kierownika Działu Informatyki, </w:t>
      </w:r>
      <w:r>
        <w:rPr>
          <w:rFonts w:eastAsia="Times New Roman"/>
          <w:szCs w:val="24"/>
          <w:lang w:eastAsia="pl-PL"/>
        </w:rPr>
        <w:br/>
        <w:t>Pana R. Matuszczaka (tel.: 883 369 657, lub mail</w:t>
      </w:r>
      <w:r w:rsidRPr="00185B54">
        <w:rPr>
          <w:rFonts w:eastAsia="Times New Roman"/>
          <w:szCs w:val="24"/>
          <w:lang w:eastAsia="pl-PL"/>
        </w:rPr>
        <w:t xml:space="preserve">: </w:t>
      </w:r>
      <w:hyperlink r:id="rId8" w:history="1">
        <w:r w:rsidRPr="00185B54">
          <w:rPr>
            <w:rStyle w:val="Hipercze"/>
            <w:rFonts w:eastAsia="Times New Roman"/>
            <w:szCs w:val="24"/>
            <w:u w:val="none"/>
            <w:lang w:eastAsia="pl-PL"/>
          </w:rPr>
          <w:t>r.matuszczak@pwsz.kalisz.pl</w:t>
        </w:r>
      </w:hyperlink>
      <w:r>
        <w:rPr>
          <w:rFonts w:eastAsia="Times New Roman"/>
          <w:szCs w:val="24"/>
          <w:lang w:eastAsia="pl-PL"/>
        </w:rPr>
        <w:t>).</w:t>
      </w:r>
    </w:p>
    <w:p w:rsidR="00B84AE6" w:rsidRPr="002A74C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D. Głosowanie będzie się odbywało w dniu </w:t>
      </w:r>
      <w:r w:rsidRPr="002A74C6">
        <w:rPr>
          <w:rFonts w:eastAsia="Times New Roman"/>
          <w:b/>
          <w:szCs w:val="24"/>
          <w:lang w:eastAsia="pl-PL"/>
        </w:rPr>
        <w:t>3</w:t>
      </w:r>
      <w:r w:rsidR="002A74C6">
        <w:rPr>
          <w:rFonts w:eastAsia="Times New Roman"/>
          <w:b/>
          <w:szCs w:val="24"/>
          <w:lang w:eastAsia="pl-PL"/>
        </w:rPr>
        <w:t xml:space="preserve"> czerwca 2020 r. w godz.: 14,00 – 18</w:t>
      </w:r>
      <w:r w:rsidRPr="002A74C6">
        <w:rPr>
          <w:rFonts w:eastAsia="Times New Roman"/>
          <w:b/>
          <w:szCs w:val="24"/>
          <w:lang w:eastAsia="pl-PL"/>
        </w:rPr>
        <w:t>,00.</w:t>
      </w:r>
    </w:p>
    <w:p w:rsidR="00B84AE6" w:rsidRPr="002A74C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jc w:val="both"/>
        <w:rPr>
          <w:rFonts w:eastAsia="Times New Roman"/>
          <w:b/>
          <w:szCs w:val="24"/>
          <w:lang w:eastAsia="pl-PL"/>
        </w:rPr>
      </w:pP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III. Zwrócenia uwagi na:</w:t>
      </w: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jc w:val="both"/>
        <w:rPr>
          <w:rFonts w:eastAsia="Times New Roman"/>
          <w:szCs w:val="24"/>
          <w:lang w:eastAsia="pl-PL"/>
        </w:rPr>
      </w:pPr>
    </w:p>
    <w:p w:rsidR="00B84AE6" w:rsidRDefault="00B84AE6" w:rsidP="003F242B">
      <w:pPr>
        <w:jc w:val="both"/>
        <w:rPr>
          <w:szCs w:val="24"/>
        </w:rPr>
      </w:pPr>
      <w:r>
        <w:rPr>
          <w:rFonts w:eastAsia="Times New Roman"/>
          <w:szCs w:val="24"/>
          <w:lang w:eastAsia="pl-PL"/>
        </w:rPr>
        <w:t xml:space="preserve"> </w:t>
      </w:r>
      <w:r>
        <w:rPr>
          <w:szCs w:val="24"/>
        </w:rPr>
        <w:t xml:space="preserve"> pkt 2 </w:t>
      </w:r>
      <w:r w:rsidR="002A74C6">
        <w:rPr>
          <w:szCs w:val="24"/>
        </w:rPr>
        <w:t>„</w:t>
      </w:r>
      <w:r>
        <w:rPr>
          <w:szCs w:val="24"/>
        </w:rPr>
        <w:t>Wytycznych</w:t>
      </w:r>
      <w:r w:rsidR="002A74C6">
        <w:rPr>
          <w:szCs w:val="24"/>
        </w:rPr>
        <w:t>”</w:t>
      </w:r>
      <w:r>
        <w:rPr>
          <w:szCs w:val="24"/>
        </w:rPr>
        <w:t xml:space="preserve">, dotyczących głosowania on-line, stanowiących Załącznik Nr 1 do Decyzji nr 4/2020-2024 Przewodniczącego UKW z dnia 26 maja 2020 r., opublikowanych na stronie internetowej </w:t>
      </w:r>
      <w:r>
        <w:rPr>
          <w:b/>
          <w:szCs w:val="24"/>
        </w:rPr>
        <w:t>BIP</w:t>
      </w:r>
      <w:r>
        <w:rPr>
          <w:szCs w:val="24"/>
        </w:rPr>
        <w:t xml:space="preserve"> PWSZ w Kaliszu ( pwsz.kalisz.pl ) w zakładce WYBORY / Uczelniana Komisja Wyborcza, gdzie podano sposób przydzielenia adresu email i wniesienia ewentualnych zmian do dnia 1 czerwca br. do godz. 12.00. </w:t>
      </w: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jc w:val="both"/>
        <w:rPr>
          <w:rFonts w:eastAsia="Times New Roman"/>
          <w:szCs w:val="24"/>
          <w:lang w:eastAsia="pl-PL"/>
        </w:rPr>
      </w:pP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ind w:left="1080"/>
        <w:contextualSpacing/>
        <w:jc w:val="both"/>
        <w:rPr>
          <w:rFonts w:eastAsia="Times New Roman"/>
          <w:b/>
          <w:sz w:val="28"/>
          <w:szCs w:val="28"/>
          <w:lang w:eastAsia="pl-PL"/>
        </w:rPr>
      </w:pP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ind w:left="720"/>
        <w:contextualSpacing/>
        <w:jc w:val="both"/>
        <w:rPr>
          <w:rFonts w:eastAsia="Times New Roman"/>
          <w:lang w:eastAsia="pl-PL"/>
        </w:rPr>
      </w:pP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jc w:val="both"/>
        <w:rPr>
          <w:rFonts w:eastAsia="Times New Roman"/>
          <w:lang w:eastAsia="pl-PL"/>
        </w:rPr>
      </w:pPr>
    </w:p>
    <w:p w:rsidR="00B84AE6" w:rsidRDefault="00B84AE6" w:rsidP="003F242B">
      <w:pPr>
        <w:widowControl/>
        <w:overflowPunct w:val="0"/>
        <w:autoSpaceDE w:val="0"/>
        <w:autoSpaceDN w:val="0"/>
        <w:adjustRightInd w:val="0"/>
        <w:spacing w:line="100" w:lineRule="atLeast"/>
        <w:jc w:val="both"/>
        <w:rPr>
          <w:rFonts w:eastAsia="Times New Roman"/>
          <w:lang w:eastAsia="pl-PL"/>
        </w:rPr>
      </w:pPr>
      <w:bookmarkStart w:id="0" w:name="_GoBack"/>
      <w:bookmarkEnd w:id="0"/>
    </w:p>
    <w:p w:rsidR="00B84AE6" w:rsidRDefault="00B84AE6" w:rsidP="003F242B">
      <w:pPr>
        <w:jc w:val="both"/>
        <w:rPr>
          <w:b/>
          <w:bCs/>
          <w:szCs w:val="24"/>
        </w:rPr>
      </w:pPr>
    </w:p>
    <w:p w:rsidR="00B84AE6" w:rsidRDefault="00B84AE6" w:rsidP="003F242B">
      <w:pPr>
        <w:jc w:val="both"/>
        <w:rPr>
          <w:b/>
          <w:bCs/>
          <w:szCs w:val="24"/>
        </w:rPr>
      </w:pPr>
    </w:p>
    <w:p w:rsidR="00B84AE6" w:rsidRDefault="00B84AE6" w:rsidP="003F242B">
      <w:pPr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</w:p>
    <w:p w:rsidR="00B84AE6" w:rsidRDefault="00B84AE6" w:rsidP="003F242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84AE6" w:rsidRPr="002A74C6" w:rsidRDefault="00B84AE6" w:rsidP="003F242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A74C6">
        <w:rPr>
          <w:szCs w:val="24"/>
        </w:rPr>
        <w:t xml:space="preserve">Przewodniczący Podkomisji Wyborczej </w:t>
      </w:r>
    </w:p>
    <w:p w:rsidR="00B84AE6" w:rsidRPr="002A74C6" w:rsidRDefault="00B84AE6" w:rsidP="003F242B">
      <w:pPr>
        <w:jc w:val="both"/>
        <w:rPr>
          <w:szCs w:val="24"/>
        </w:rPr>
      </w:pPr>
      <w:r w:rsidRPr="002A74C6">
        <w:rPr>
          <w:szCs w:val="24"/>
        </w:rPr>
        <w:tab/>
      </w:r>
      <w:r w:rsidRPr="002A74C6">
        <w:rPr>
          <w:szCs w:val="24"/>
        </w:rPr>
        <w:tab/>
      </w:r>
      <w:r w:rsidRPr="002A74C6">
        <w:rPr>
          <w:szCs w:val="24"/>
        </w:rPr>
        <w:tab/>
      </w:r>
      <w:r w:rsidRPr="002A74C6">
        <w:rPr>
          <w:szCs w:val="24"/>
        </w:rPr>
        <w:tab/>
      </w:r>
      <w:r w:rsidRPr="002A74C6">
        <w:rPr>
          <w:szCs w:val="24"/>
        </w:rPr>
        <w:tab/>
        <w:t xml:space="preserve">       ds. wyborów na Wydziale Nauk Społecznych</w:t>
      </w:r>
    </w:p>
    <w:p w:rsidR="00B84AE6" w:rsidRPr="002A74C6" w:rsidRDefault="00B84AE6" w:rsidP="003F242B">
      <w:pPr>
        <w:jc w:val="both"/>
        <w:rPr>
          <w:szCs w:val="24"/>
        </w:rPr>
      </w:pPr>
    </w:p>
    <w:p w:rsidR="00B84AE6" w:rsidRPr="002A74C6" w:rsidRDefault="00B84AE6" w:rsidP="003F242B">
      <w:pPr>
        <w:jc w:val="both"/>
        <w:rPr>
          <w:szCs w:val="24"/>
        </w:rPr>
      </w:pPr>
      <w:r w:rsidRPr="002A74C6">
        <w:rPr>
          <w:szCs w:val="24"/>
        </w:rPr>
        <w:tab/>
      </w:r>
      <w:r w:rsidRPr="002A74C6">
        <w:rPr>
          <w:szCs w:val="24"/>
        </w:rPr>
        <w:tab/>
      </w:r>
      <w:r w:rsidRPr="002A74C6">
        <w:rPr>
          <w:szCs w:val="24"/>
        </w:rPr>
        <w:tab/>
      </w:r>
      <w:r w:rsidRPr="002A74C6">
        <w:rPr>
          <w:szCs w:val="24"/>
        </w:rPr>
        <w:tab/>
      </w:r>
      <w:r w:rsidRPr="002A74C6">
        <w:rPr>
          <w:szCs w:val="24"/>
        </w:rPr>
        <w:tab/>
      </w:r>
      <w:r w:rsidRPr="002A74C6">
        <w:rPr>
          <w:szCs w:val="24"/>
        </w:rPr>
        <w:tab/>
        <w:t xml:space="preserve">        Andrzej Kwiatkowski</w:t>
      </w:r>
    </w:p>
    <w:p w:rsidR="00B84AE6" w:rsidRPr="002A74C6" w:rsidRDefault="00B84AE6" w:rsidP="003F242B">
      <w:pPr>
        <w:jc w:val="both"/>
        <w:rPr>
          <w:szCs w:val="24"/>
        </w:rPr>
      </w:pPr>
    </w:p>
    <w:sectPr w:rsidR="00B84AE6" w:rsidRPr="002A74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F7" w:rsidRDefault="006972F7" w:rsidP="00CD4FE8">
      <w:r>
        <w:separator/>
      </w:r>
    </w:p>
  </w:endnote>
  <w:endnote w:type="continuationSeparator" w:id="0">
    <w:p w:rsidR="006972F7" w:rsidRDefault="006972F7" w:rsidP="00CD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E8" w:rsidRDefault="00CD4F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988686"/>
      <w:docPartObj>
        <w:docPartGallery w:val="Page Numbers (Bottom of Page)"/>
        <w:docPartUnique/>
      </w:docPartObj>
    </w:sdtPr>
    <w:sdtEndPr/>
    <w:sdtContent>
      <w:p w:rsidR="00CD4FE8" w:rsidRDefault="00CD4F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4C6">
          <w:rPr>
            <w:noProof/>
          </w:rPr>
          <w:t>1</w:t>
        </w:r>
        <w:r>
          <w:fldChar w:fldCharType="end"/>
        </w:r>
      </w:p>
    </w:sdtContent>
  </w:sdt>
  <w:p w:rsidR="00CD4FE8" w:rsidRDefault="00CD4F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E8" w:rsidRDefault="00CD4F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F7" w:rsidRDefault="006972F7" w:rsidP="00CD4FE8">
      <w:r>
        <w:separator/>
      </w:r>
    </w:p>
  </w:footnote>
  <w:footnote w:type="continuationSeparator" w:id="0">
    <w:p w:rsidR="006972F7" w:rsidRDefault="006972F7" w:rsidP="00CD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E8" w:rsidRDefault="00CD4F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E8" w:rsidRDefault="00CD4F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E8" w:rsidRDefault="00CD4F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87E"/>
    <w:multiLevelType w:val="hybridMultilevel"/>
    <w:tmpl w:val="0462848A"/>
    <w:lvl w:ilvl="0" w:tplc="DC72ACB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70AB6"/>
    <w:multiLevelType w:val="hybridMultilevel"/>
    <w:tmpl w:val="035AE1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E7795"/>
    <w:multiLevelType w:val="hybridMultilevel"/>
    <w:tmpl w:val="E0D4B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75020"/>
    <w:multiLevelType w:val="hybridMultilevel"/>
    <w:tmpl w:val="D21ABCC6"/>
    <w:lvl w:ilvl="0" w:tplc="C71402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6B"/>
    <w:rsid w:val="00185B54"/>
    <w:rsid w:val="002A74C6"/>
    <w:rsid w:val="002E6254"/>
    <w:rsid w:val="003F242B"/>
    <w:rsid w:val="0062126B"/>
    <w:rsid w:val="006972F7"/>
    <w:rsid w:val="00981E9F"/>
    <w:rsid w:val="00B84AE6"/>
    <w:rsid w:val="00CD4FE8"/>
    <w:rsid w:val="00D7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AE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A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5B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4F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FE8"/>
    <w:rPr>
      <w:rFonts w:ascii="Times New Roman" w:eastAsia="Tahoma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4F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FE8"/>
    <w:rPr>
      <w:rFonts w:ascii="Times New Roman" w:eastAsia="Tahoma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AE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A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5B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4F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FE8"/>
    <w:rPr>
      <w:rFonts w:ascii="Times New Roman" w:eastAsia="Tahoma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4F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FE8"/>
    <w:rPr>
      <w:rFonts w:ascii="Times New Roman" w:eastAsia="Tahoma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matuszczak@pwsz.kalisz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8</cp:revision>
  <dcterms:created xsi:type="dcterms:W3CDTF">2020-05-28T15:00:00Z</dcterms:created>
  <dcterms:modified xsi:type="dcterms:W3CDTF">2020-05-29T06:07:00Z</dcterms:modified>
</cp:coreProperties>
</file>