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2B" w:rsidRPr="00CC552B" w:rsidRDefault="00CC552B" w:rsidP="00CC55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CC552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Aneks z 8.06.2020 do zaleceń </w:t>
      </w:r>
      <w:proofErr w:type="spellStart"/>
      <w:r w:rsidRPr="00CC552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PTEiLChZ</w:t>
      </w:r>
      <w:proofErr w:type="spellEnd"/>
      <w:r w:rsidRPr="00CC552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postępowania w zakażeniach SARS-CoV-2</w:t>
      </w:r>
    </w:p>
    <w:p w:rsidR="00CC552B" w:rsidRPr="00CC552B" w:rsidRDefault="00CC552B" w:rsidP="00CC5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Oceń: </w:t>
      </w:r>
    </w:p>
    <w:p w:rsidR="00CC552B" w:rsidRPr="00CC552B" w:rsidRDefault="00CC552B" w:rsidP="00CC5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52B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r w:rsidRPr="00CC5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5.00</w:t>
      </w:r>
      <w:r w:rsidRPr="00CC552B">
        <w:rPr>
          <w:rFonts w:ascii="Times New Roman" w:eastAsia="Times New Roman" w:hAnsi="Times New Roman" w:cs="Times New Roman"/>
          <w:sz w:val="24"/>
          <w:szCs w:val="24"/>
          <w:lang w:eastAsia="pl-PL"/>
        </w:rPr>
        <w:t>/5 z </w:t>
      </w:r>
      <w:r w:rsidRPr="00CC5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C552B">
        <w:rPr>
          <w:rFonts w:ascii="Times New Roman" w:eastAsia="Times New Roman" w:hAnsi="Times New Roman" w:cs="Times New Roman"/>
          <w:sz w:val="24"/>
          <w:szCs w:val="24"/>
          <w:lang w:eastAsia="pl-PL"/>
        </w:rPr>
        <w:t> ocen)</w:t>
      </w:r>
    </w:p>
    <w:p w:rsidR="00CC552B" w:rsidRPr="00CC552B" w:rsidRDefault="00CC552B" w:rsidP="00CC552B">
      <w:pPr>
        <w:shd w:val="clear" w:color="auto" w:fill="6666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komentarze" w:history="1">
        <w:r w:rsidRPr="00CC552B">
          <w:rPr>
            <w:rFonts w:ascii="Times New Roman" w:eastAsia="Times New Roman" w:hAnsi="Times New Roman" w:cs="Times New Roman"/>
            <w:color w:val="FFFFFF"/>
            <w:sz w:val="24"/>
            <w:szCs w:val="24"/>
            <w:shd w:val="clear" w:color="auto" w:fill="666666"/>
            <w:lang w:eastAsia="pl-PL"/>
          </w:rPr>
          <w:t>zobacz komentarze</w:t>
        </w:r>
      </w:hyperlink>
    </w:p>
    <w:p w:rsidR="00CC552B" w:rsidRPr="00CC552B" w:rsidRDefault="00CC552B" w:rsidP="00CC552B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CC552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08.06.2020</w:t>
      </w:r>
    </w:p>
    <w:p w:rsidR="00CC552B" w:rsidRPr="00CC552B" w:rsidRDefault="00CC552B" w:rsidP="00CC552B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proofErr w:type="spellStart"/>
      <w:r w:rsidRPr="00CC552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PTEiLChZ</w:t>
      </w:r>
      <w:proofErr w:type="spellEnd"/>
    </w:p>
    <w:p w:rsidR="00CC552B" w:rsidRPr="00CC552B" w:rsidRDefault="00CC552B" w:rsidP="00CC5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55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Aneks #1 z 8.06.2020 roku do zaleceń postępowania w zakażeniach SARS-CoV-2 Polskiego Towarzystwa Epidemiologów i Lekarzy Chorób Zakaźnych z 31.03.2020 roku</w:t>
      </w:r>
    </w:p>
    <w:p w:rsidR="00CC552B" w:rsidRPr="00CC552B" w:rsidRDefault="00CC552B" w:rsidP="00CC5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Robert Flisiak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1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Andrzej Horban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2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Jerzy Jaroszewicz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3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Dorota Kozielewicz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4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Małgorzata Pawłowska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4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Miłosz Parczewski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5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Anna Piekarska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6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Krzysztof Simon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7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Krzysztof Tomasiewicz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8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Dorota Zarębska-Michaluk</w:t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9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1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 i Hepatologii, Uniwersytet Medyczny w Białymstoku, Białystok,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2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 dla Dorosłych, Uniwersytet Medyczny w Warszawie, Warszawa,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3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 w Bytomiu, Śląski Uniwersytet Medyczny, Katowice,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4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 Klinika Chorób Zakaźnych i Hepatologii, Wydział Lekarski Collegium </w:t>
      </w:r>
      <w:proofErr w:type="spellStart"/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Medicum</w:t>
      </w:r>
      <w:proofErr w:type="spellEnd"/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Uniwersytet im. Mikołaja Kopernika, Bydgoszcz,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5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Zakaźnych, Tropikalnych i Nabytych Niedoborów Odporności, Pomorski Uniwersytet Medyczny, Szczecin,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6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 i Hepatologii, Uniwersytet Medyczny w Łodzi, Łódź,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7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 i Hepatologii, Uniwersytet Medyczny we Wrocławiu, Wrocław,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8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 i Hepatologii, Uniwersytet Medyczny w Lublinie, Lublin, Polska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br/>
      </w:r>
      <w:r w:rsidRPr="00CC552B">
        <w:rPr>
          <w:rFonts w:ascii="Arial" w:eastAsia="Times New Roman" w:hAnsi="Arial" w:cs="Arial"/>
          <w:b/>
          <w:bCs/>
          <w:color w:val="333333"/>
          <w:sz w:val="12"/>
          <w:szCs w:val="12"/>
          <w:vertAlign w:val="superscript"/>
          <w:lang w:eastAsia="pl-PL"/>
        </w:rPr>
        <w:t>9</w:t>
      </w:r>
      <w:r w:rsidRPr="00CC552B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Klinika Chorób Zakaźnych, Uniwersytet im. Jana Kochanowskiego, Kielce, Polska</w:t>
      </w:r>
    </w:p>
    <w:p w:rsidR="00CC552B" w:rsidRPr="00CC552B" w:rsidRDefault="00CC552B" w:rsidP="00CC55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 względu na pojawiające się nowe dane z piśmiennictwa oraz gromadzone doświadczenia konieczne stało się dokonanie pewnych zmian w </w:t>
      </w:r>
      <w:hyperlink r:id="rId6" w:history="1">
        <w:r w:rsidRPr="00CC552B">
          <w:rPr>
            <w:rFonts w:ascii="Times New Roman" w:eastAsia="Times New Roman" w:hAnsi="Times New Roman" w:cs="Times New Roman"/>
            <w:color w:val="00477F"/>
            <w:sz w:val="24"/>
            <w:szCs w:val="24"/>
            <w:lang w:eastAsia="pl-PL"/>
          </w:rPr>
          <w:t>zaleceniach postępowania w zakażeniach SARS-CoV-2 Polskiego Towarzystwa Epidemiologów i Lekarzy Chorób Zakaźnych, opublikowanych 31 marca 2020</w:t>
        </w:r>
      </w:hyperlink>
      <w:r w:rsidRPr="00CC552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1</w:t>
      </w:r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Zmiany dotyczą leczenia podstawowego i wspomagającego w poszczególnych stadiach choroby (tabela 1). Wynikają przede wszystkim z rejestracji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remdesiwiru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dokonanej przez FDA i EMA</w:t>
      </w:r>
      <w:r w:rsidRPr="00CC552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2,3,4</w:t>
      </w:r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 zaleceniach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PTEiLChZ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 dnia 31.03.2020 przypisano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chlorochinie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 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hydrochlorochinie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zastosowanie w leczeniu podstawowym, co wynikało z braku alternatywnych zarejestrowanych form leczenia i spodziewanych nowych dowodów na skuteczność tych leków. W związku z brakiem takich dowodów w niniejszym aneksie przypisano status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wynikajacy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 charakterystyki produktu leczniczego</w:t>
      </w:r>
      <w:r w:rsidRPr="00CC552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5</w:t>
      </w:r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Ponadto aneks uwzględnił stosowanie osocza ozdrowieńców i heparyny drobnocząsteczkowej w ramach leczenia wspomagającego</w:t>
      </w:r>
      <w:r w:rsidRPr="00CC552B"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  <w:lang w:eastAsia="pl-PL"/>
        </w:rPr>
        <w:t>6,7</w:t>
      </w:r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Nadal brak jest wystarczających dowodów celowości stosowania w leczeniu zakażeń SARS-CoV-2 leków takich jak: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azytromycyna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fawipirawir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ruxolitinib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oseltamiwir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opaganib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proofErr w:type="spellStart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verdinexor</w:t>
      </w:r>
      <w:proofErr w:type="spellEnd"/>
      <w:r w:rsidRPr="00CC55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 związku z czym nie zalecamy ich stosowania.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3992"/>
        <w:gridCol w:w="3243"/>
        <w:gridCol w:w="45"/>
      </w:tblGrid>
      <w:tr w:rsidR="00CC552B" w:rsidRPr="00CC552B" w:rsidTr="00CC552B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00C2C9"/>
            <w:vAlign w:val="center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lastRenderedPageBreak/>
              <w:t>Tabela 1. Zalecane postępowanie terapeutyczne w poszczególnych postaciach klinicznych zakażeń SARS-CoV-2 z uwzględnieniem leczenia podstawowego i wspomagającego</w:t>
            </w:r>
          </w:p>
        </w:tc>
      </w:tr>
      <w:tr w:rsidR="00CC552B" w:rsidRPr="00CC552B" w:rsidTr="00CC552B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Postać/stadium choroby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Leczenie podstawowe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Leczenie wspomagające</w:t>
            </w:r>
          </w:p>
        </w:tc>
      </w:tr>
      <w:tr w:rsidR="00CC552B" w:rsidRPr="00CC552B" w:rsidTr="00CC552B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Postać bezobjawowa lub łagodna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stosuje się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leczenie objawowe</w:t>
            </w:r>
          </w:p>
        </w:tc>
      </w:tr>
      <w:tr w:rsidR="00CC552B" w:rsidRPr="00CC552B" w:rsidTr="00CC552B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Postać stabilna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remdesiwir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dożylnie, raz dziennie, dawka nasycająca: 200 mg, potem dawka podtrzymująca: 100 mg przez 10 dni </w:t>
            </w:r>
            <w:r w:rsidRPr="00CC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lub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lopinawir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ritonawir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 400/100mg co 12 godzin, do 14 dni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chlorochina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doustnie, zwykle 250 mg (w uzasadnionych przypadkach 500 mg) co 12 godzin, 7–10 dni (nie dłużej niż 10 dni) </w:t>
            </w:r>
            <w:r w:rsidRPr="00CC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lub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hydroksychlorochina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doustnie, dawka nasycająca: 400 mg co 12 godzin, dawka podtrzymująca: 200 mg co 12 godzin, 10 dni</w:t>
            </w:r>
          </w:p>
          <w:p w:rsidR="00CC552B" w:rsidRPr="00CC552B" w:rsidRDefault="00CC552B" w:rsidP="00CC5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osocze ozdrowieńców</w:t>
            </w:r>
          </w:p>
          <w:p w:rsidR="00CC552B" w:rsidRPr="00CC552B" w:rsidRDefault="00CC552B" w:rsidP="00CC5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heparyna drobnocząsteczkowa*</w:t>
            </w:r>
          </w:p>
          <w:p w:rsidR="00CC552B" w:rsidRPr="00CC552B" w:rsidRDefault="00CC552B" w:rsidP="00CC5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ewentualna antybiotykoterapia</w:t>
            </w:r>
          </w:p>
          <w:p w:rsidR="00CC552B" w:rsidRPr="00CC552B" w:rsidRDefault="00CC552B" w:rsidP="00CC55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leczenie objawowe</w:t>
            </w:r>
          </w:p>
        </w:tc>
      </w:tr>
      <w:tr w:rsidR="00CC552B" w:rsidRPr="00CC552B" w:rsidTr="00CC552B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Postać z niewydolnością oddechową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remdesiwir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dożylnie, raz dziennie, dawka nasycająca: 200 mg, potem dawka podtrzymująca: 100 mg przez 10 dni </w:t>
            </w:r>
            <w:r w:rsidRPr="00CC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lub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lopinawir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ritonawir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 400/100mg co 12 godzin, 28 dni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plus</w:t>
            </w:r>
          </w:p>
          <w:p w:rsidR="00CC552B" w:rsidRPr="00CC552B" w:rsidRDefault="00CC552B" w:rsidP="00CC55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tocilizumab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(u osób z podwyższonym stężeniem IL-6), dożylnie 8 mg/kg (maksymalnie 800 mg) w pojedynczej dawce (jednogodzinny wlew); przy braku poprawy druga dawka może być powtórzona po 8–12 godzinach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chlorochina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doustnie, zwykle 250 mg (w uzasadnionych przypadkach 500 mg) co 12 godzin, 7–10 dni (nie dłużej niż 10 dni) </w:t>
            </w:r>
            <w:r w:rsidRPr="00CC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lub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hydroksychlorochina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doustnie, dawka nasycająca: 400 mg co 12 godzin, dawka podtrzymująca: 200 mg co 12 godzin, 10 dni</w:t>
            </w:r>
          </w:p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osocze ozdrowieńców</w:t>
            </w:r>
          </w:p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heparyna drobnocząsteczkowa*</w:t>
            </w:r>
          </w:p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ewentualna antybiotykoterapia</w:t>
            </w:r>
          </w:p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leczenie objawowe</w:t>
            </w:r>
          </w:p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tlenoterapia</w:t>
            </w:r>
          </w:p>
          <w:p w:rsidR="00CC552B" w:rsidRPr="00CC552B" w:rsidRDefault="00CC552B" w:rsidP="00CC552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nawodnienie dożylne</w:t>
            </w:r>
          </w:p>
        </w:tc>
      </w:tr>
      <w:tr w:rsidR="00CC552B" w:rsidRPr="00CC552B" w:rsidTr="00CC552B">
        <w:trPr>
          <w:gridAfter w:val="1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 Postać krytyczna (ARDS)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remdesiwir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dożylnie, raz dziennie, dawka nasycająca: 200 mg, potem dawka podtrzymująca: 100 mg przez 10 dni </w:t>
            </w:r>
            <w:r w:rsidRPr="00CC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lub 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lopinawir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ritonawir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doustnie 400/100mg co 12 godzin, do 28 dni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plus</w:t>
            </w:r>
          </w:p>
          <w:p w:rsidR="00CC552B" w:rsidRPr="00CC552B" w:rsidRDefault="00CC552B" w:rsidP="00CC552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tocilizumab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(u osób z podwyższonym stężeniem IL-6), dożylnie 8 mg/kg (maksymalnie 800 mg) w pojedynczej dawce (jednogodzinny wlew); przy braku poprawy druga dawka może być powtórzona po 8–12 godzinach</w:t>
            </w:r>
          </w:p>
        </w:tc>
        <w:tc>
          <w:tcPr>
            <w:tcW w:w="0" w:type="auto"/>
            <w:shd w:val="clear" w:color="auto" w:fill="auto"/>
            <w:hideMark/>
          </w:tcPr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wentylacja mechaniczna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ECMO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osocze ozdrowieńców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heparyna drobnocząsteczkowa*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ewentualna antybiotykoterapia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leczenie objawowe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tlenoterapia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nawodnienie dożylne</w:t>
            </w:r>
          </w:p>
          <w:p w:rsidR="00CC552B" w:rsidRPr="00CC552B" w:rsidRDefault="00CC552B" w:rsidP="00CC552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glikokortykoidy: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 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methylprednizolon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dożylnie 1 mg/kg dziennie przez 5 dni, potem 40 mg dziennie przez 3 dni, następnie 10 mg dziennie przez 2 dni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55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lub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 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deksametazon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dożylnie 20 mg dziennie przez 5 dni, potem 10 mg dziennie przez 3 dni, następnie 5 mg dziennie przez 2 dni</w:t>
            </w:r>
          </w:p>
        </w:tc>
      </w:tr>
      <w:tr w:rsidR="00CC552B" w:rsidRPr="00CC552B" w:rsidTr="00CC552B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hideMark/>
          </w:tcPr>
          <w:p w:rsidR="00CC552B" w:rsidRPr="00CC552B" w:rsidRDefault="00CC552B" w:rsidP="00CC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552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pl-PL"/>
              </w:rPr>
              <w:t>*</w:t>
            </w:r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heparyna drobnocząsteczkowa w dawkach profilaktycznych lub terapeutycznych stosowana zgodnie z ogólnymi zasadami </w:t>
            </w:r>
            <w:proofErr w:type="spellStart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postęowania</w:t>
            </w:r>
            <w:proofErr w:type="spellEnd"/>
            <w:r w:rsidRPr="00CC55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 powikłaniach zakrzepowo-zatorowych.</w:t>
            </w:r>
          </w:p>
        </w:tc>
      </w:tr>
    </w:tbl>
    <w:p w:rsidR="00A50AB6" w:rsidRDefault="00A50AB6" w:rsidP="00A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</w:p>
    <w:p w:rsidR="00A50AB6" w:rsidRPr="00A50AB6" w:rsidRDefault="00A50AB6" w:rsidP="00A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bookmarkStart w:id="0" w:name="_GoBack"/>
      <w:bookmarkEnd w:id="0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1.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Flisiak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R.,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Horban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A., Jaroszewicz J.,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Kozielewicz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D., Pawłowska M., Parczewski M., Piekarska A., Simon K., Tomasiewicz K., Zarębska-Michaluk D.: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Recommendations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management in SARS-CoV-2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infection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the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Polish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Association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Epidemiologists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and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Infectiologists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Pol. Arch. Intern. Med. 2020 2020; 130: 352-357; </w:t>
      </w:r>
      <w:hyperlink r:id="rId7" w:history="1">
        <w:r w:rsidRPr="00A50AB6">
          <w:rPr>
            <w:rFonts w:ascii="Times New Roman" w:eastAsia="Times New Roman" w:hAnsi="Times New Roman" w:cs="Times New Roman"/>
            <w:color w:val="00477F"/>
            <w:sz w:val="24"/>
            <w:szCs w:val="24"/>
            <w:u w:val="single"/>
            <w:lang w:eastAsia="pl-PL"/>
          </w:rPr>
          <w:t>https://www.mp.pl/paim/en/node/15270/pdf</w:t>
        </w:r>
      </w:hyperlink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2.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Beigel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J.H.,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Tomashek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K.M.,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Dodd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L.E. i 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Remdesivir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for the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Covid-19 - Preliminary Report.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published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on May 22, 2020,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NEJM.org.DOI:10.1056/NEJMoa2007764</w:t>
      </w:r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3. FDA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issuance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emergency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authorization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for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potential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COVID-19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May 1, 2020 </w:t>
      </w:r>
      <w:hyperlink r:id="rId8" w:history="1">
        <w:r w:rsidRPr="00A50AB6">
          <w:rPr>
            <w:rFonts w:ascii="Times New Roman" w:eastAsia="Times New Roman" w:hAnsi="Times New Roman" w:cs="Times New Roman"/>
            <w:color w:val="00477F"/>
            <w:sz w:val="24"/>
            <w:szCs w:val="24"/>
            <w:u w:val="single"/>
            <w:lang w:eastAsia="pl-PL"/>
          </w:rPr>
          <w:t>https://www.fda.gov/media/137564/download</w:t>
        </w:r>
      </w:hyperlink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4. EMA.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Summary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on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compassionate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use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for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Remdesivir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Gilead (PDF/2.32 MB) (updated). </w:t>
      </w:r>
      <w:hyperlink r:id="rId9" w:history="1">
        <w:r w:rsidRPr="00A50AB6">
          <w:rPr>
            <w:rFonts w:ascii="Times New Roman" w:eastAsia="Times New Roman" w:hAnsi="Times New Roman" w:cs="Times New Roman"/>
            <w:color w:val="00477F"/>
            <w:sz w:val="24"/>
            <w:szCs w:val="24"/>
            <w:u w:val="single"/>
            <w:lang w:eastAsia="pl-PL"/>
          </w:rPr>
          <w:t>https://www.ema.europa.eu/en/documents/other/summary-compassionate-use-remdesivirgilead_en.pdf</w:t>
        </w:r>
      </w:hyperlink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5.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Arechin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– charakterystyka produktu leczniczego. </w:t>
      </w:r>
      <w:hyperlink r:id="rId10" w:history="1">
        <w:r w:rsidRPr="00A50AB6">
          <w:rPr>
            <w:rFonts w:ascii="Times New Roman" w:eastAsia="Times New Roman" w:hAnsi="Times New Roman" w:cs="Times New Roman"/>
            <w:color w:val="00477F"/>
            <w:sz w:val="24"/>
            <w:szCs w:val="24"/>
            <w:u w:val="single"/>
            <w:lang w:eastAsia="pl-PL"/>
          </w:rPr>
          <w:t>http://www.urpl.gov.pl/sites/default/files/Arechin%20Charakterystyka%20Produktu%20L eczniczego.pdf</w:t>
        </w:r>
      </w:hyperlink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6. Tang N., Bai H., Chen X., Gong J., Li D., Sun Z.: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Anticoagulant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is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associated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decreased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mortality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severe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coronavirus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disease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2019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coagulopathy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J.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Thromb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Haemost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 2020; 18: 1094-1099.</w:t>
      </w:r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 xml:space="preserve">7.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Ye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M., Fu D., Ren Y. i 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wsp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.: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Treatment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with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convalescent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plasma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for COVID-19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patients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in Wuhan, China [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published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online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ahead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of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print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, 2020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Apr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15]. J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Med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</w:t>
      </w:r>
      <w:proofErr w:type="spellStart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Virol</w:t>
      </w:r>
      <w:proofErr w:type="spellEnd"/>
      <w:r w:rsidRPr="00A50AB6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 2020; doi:10.1002/jmv.25882</w:t>
      </w:r>
    </w:p>
    <w:p w:rsidR="00FD7F27" w:rsidRDefault="00FD7F27"/>
    <w:sectPr w:rsidR="00FD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62FA"/>
    <w:multiLevelType w:val="multilevel"/>
    <w:tmpl w:val="C17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436DF"/>
    <w:multiLevelType w:val="multilevel"/>
    <w:tmpl w:val="A134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64F3B"/>
    <w:multiLevelType w:val="multilevel"/>
    <w:tmpl w:val="7CE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C3807"/>
    <w:multiLevelType w:val="multilevel"/>
    <w:tmpl w:val="574C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900C54"/>
    <w:multiLevelType w:val="multilevel"/>
    <w:tmpl w:val="22A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80456"/>
    <w:multiLevelType w:val="multilevel"/>
    <w:tmpl w:val="22FA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B"/>
    <w:rsid w:val="00A50AB6"/>
    <w:rsid w:val="00CC552B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940B"/>
  <w15:chartTrackingRefBased/>
  <w15:docId w15:val="{A3A9EED4-6E89-4B1D-A4E5-C0F1CFA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5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5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55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55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C55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5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a/137564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.pl/paim/en/node/15270/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.pl/covid19/zalecenia/231029,zaktualizowane-zalecenia-konsultanta-krajowego-ds-chorob-zakaznych-i-prezesa-pteilch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p.pl/covid19/zalecenia/238377,aneks-z-8062020-do-zalecen-pteilchz-postepowania-w-zakazeniach-sars-cov-2" TargetMode="External"/><Relationship Id="rId10" Type="http://schemas.openxmlformats.org/officeDocument/2006/relationships/hyperlink" Target="http://leki.urpl.gov.pl/files/20_Arechi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a.europa.eu/en/documents/other/summary-compassionate-use-remdesivir-gilead_e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2</cp:revision>
  <dcterms:created xsi:type="dcterms:W3CDTF">2020-09-20T14:39:00Z</dcterms:created>
  <dcterms:modified xsi:type="dcterms:W3CDTF">2020-09-20T14:42:00Z</dcterms:modified>
</cp:coreProperties>
</file>