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8" w:rsidRPr="00345978" w:rsidRDefault="00345978" w:rsidP="00345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Czy przeciwciała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pełnią funkcję ochronną w infekcji SARS-CoV-2?</w:t>
      </w:r>
    </w:p>
    <w:p w:rsidR="00345978" w:rsidRDefault="0091639D" w:rsidP="00345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45978" w:rsidRPr="00345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 kwietnia 2020</w:t>
        </w:r>
      </w:hyperlink>
      <w:r w:rsidR="00345978"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ooltip="Posts by Agata Giżycka" w:history="1">
        <w:r w:rsidR="00345978" w:rsidRPr="00345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Agata Giżycka</w:t>
        </w:r>
      </w:hyperlink>
      <w:r w:rsidR="00345978"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39D" w:rsidRDefault="0091639D" w:rsidP="0091639D">
      <w:pPr>
        <w:spacing w:before="100" w:beforeAutospacing="1" w:after="100" w:afterAutospacing="1"/>
      </w:pPr>
      <w:r>
        <w:t xml:space="preserve">Więcej informacji o ochronnej roli przeciwciał klasy </w:t>
      </w:r>
      <w:proofErr w:type="spellStart"/>
      <w:r>
        <w:t>IgG</w:t>
      </w:r>
      <w:proofErr w:type="spellEnd"/>
      <w:r>
        <w:t xml:space="preserve"> u pacjentów z COVID-19 wraz z </w:t>
      </w:r>
      <w:proofErr w:type="spellStart"/>
      <w:r>
        <w:t>cytowaniami</w:t>
      </w:r>
      <w:proofErr w:type="spellEnd"/>
      <w:r>
        <w:t xml:space="preserve"> publikacji naukowych znajdą Państwo w najnowszym artykule na blogu EUROIMMUN: </w:t>
      </w:r>
      <w:hyperlink r:id="rId8" w:history="1">
        <w:r>
          <w:rPr>
            <w:rStyle w:val="Hipercze"/>
          </w:rPr>
          <w:t>https://euroimmun.pl/blog/czy-przeciwciala-igg-pelnia-funkcje-ochronna-w-infekcji-sars-cov-2/</w:t>
        </w:r>
      </w:hyperlink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nad odpowiedzią immunologiczną na zakażenie SARS-CoV-2 są obecnie prowadzone w wielu ośrodkach naukowych na świecie. Od momentu pojawienia się nowego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koniec 2019 roku opublikowano już artykuły na temat specyficznych przeciwciał anty-SARS-CoV-2, ale wiedza dotycząca kinetyki ich powstawania i znaczenia jest wciąż ograniczona. Ze względu na krótki czas trwania pandemii COVID-19 (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rona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rus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isease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potwierdzono jeszcze ostatecznie, czy specyficzne przeciwciała anty-SARS-CoV-2 w klasie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odgrywają w przypadku tej choroby rolę ochronną i czy będą chronić przed reinfekcją w przyszłości. Dopóki nie zostaną przeprowadzone kompleksowe badania naukowe na ten temat, możemy jedynie bazować na ugruntowanej wiedzy na temat działania i funkcji poszczególnych klas przeciwciał w innych, znanych od lat infekcjach.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Rola przeciwciał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IgG</w:t>
      </w:r>
      <w:proofErr w:type="spellEnd"/>
    </w:p>
    <w:p w:rsidR="00345978" w:rsidRPr="00345978" w:rsidRDefault="00345978" w:rsidP="0034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Przeciwciała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elementami 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pamięci immunologicznej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immunoglobuliny te pełnią więc w przypadku wielu zakażeń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funkcję ochronną przed reinfekcją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(1).</w:t>
      </w:r>
    </w:p>
    <w:p w:rsidR="00345978" w:rsidRPr="00345978" w:rsidRDefault="00345978" w:rsidP="0034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szczególnie ważna w walce z mikroorganizmami. W surowicy występuje ona w najwyższym stężeniu, gdzie stanowi około 75% wszystkich immunoglobulin (2).</w:t>
      </w:r>
    </w:p>
    <w:p w:rsidR="00345978" w:rsidRPr="00345978" w:rsidRDefault="00345978" w:rsidP="0034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większości zakażeń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podwyższone stężenie przeciwciał klasy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koreluje ze zwiększoną odpornością przeciwko patogenowi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wobec którego są skierowane immunoglobuliny. To zjawisko jest obecnie wykorzystywane w przypadku szczepień ochronnych (3). Szczepienia doprowadziły do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eradykacji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groźnych chorób zakaźnych, takich jak np. ospa prawdziwa.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Badanie obecności immunoglobulin klasy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formą badania skuteczności szczepionek oraz oceny odporności poszczepiennej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Przeciwciała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a odporność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lata były uważane za niegroźne dla ludzi wirusy, wywołujące łagodne infekcje dróg oddechowych, które po kilku dniach samoistnie ustępują. Pojawienie się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koronawirusów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dużej zjadliwości (SARS-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(-1), MERS-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spowodowało wzrost zainteresowania tymi patogenami wśród naukowców. Badania nad SARS-CoV-2 są obecnie w toku, ale w związku z wysokim stopniem podobieństwa wśród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koronawirusów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projektów badawczych bazuje na analogii COVID-19 do innych zakażeń powodowanych przez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(-1) lub MERS-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978" w:rsidRPr="00345978" w:rsidRDefault="00345978" w:rsidP="00345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Sekwencja RNA wirusa SARS-CoV-2 jest aż w 79,6% homologiczna z sekwencją wirusa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(5). W przypadku SARS specyficzne przeciwciała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pojawiały się średnio po 10 dniach od wystąpienia objawów, jednak u niektórych 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chorych można było je wykryć już po 4 dniach. Ponadto przeciwciała przeciwko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pojawiały się niemal jednocześnie w trzech klasach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IgA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sugeruje, że pojawienie się przeciwciał w klasie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mogłoby być wystarczające do wykrycia zakażenia.</w:t>
      </w:r>
    </w:p>
    <w:p w:rsidR="00345978" w:rsidRPr="00345978" w:rsidRDefault="00345978" w:rsidP="00345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infekcji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dowiedziono, że po 240 dniach od wystąpienia objawów u 100% badanych wykryto przeciwciała klasy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(przeciwciała klasy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IgM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wtedy obecne już u tylko 36% badanych) (6).</w:t>
      </w:r>
    </w:p>
    <w:p w:rsidR="00345978" w:rsidRPr="00345978" w:rsidRDefault="00345978" w:rsidP="00345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Mediana dla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serokonwersji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anty-SARS-CoV-2 w przypadku przeciwciał klas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IgA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IgM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 odpowiednio 11, 12, i 14 dni od wystąpienia objawów.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Potwierdzono jednak przypadki osób, u których już w pierwszych dniach infekcji wykryto specyficzne przeciwciała. Wskaźnik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serokonwersji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poziom specyficznych przeciwciał wzrasta szybko w ciągu pierwszych dwóch tygodni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(7). Ponadto wykazano, że specyficzne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przeciwciała anty-SARS-CoV-2 klasy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utrzymują się przez dłuższy czas na wysokim poziomie, co może sugerować, że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pełnią one rolę ochronną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wstępnych badań nad nowym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szczegółowych danych na temat odpowiedzi immunologicznej na zakażenia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można więc przypuszczać, że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specyficzne przeciwciała w klasie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pozostaną obecne u ozdrowieńców przez dłuższy czas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Co wiemy o ochronnej roli przeciwciał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 COVID-19?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Specyficzne względem wirusów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przeciwciała neutralizujące (ang.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neutralizing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nAbs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powstają w odpowiedzi na infekcję (lub szczepienie) i pełnią kluczową rolę w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kontrolowaniu infekcji wirusowej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(5).</w:t>
      </w:r>
    </w:p>
    <w:p w:rsidR="00345978" w:rsidRPr="00345978" w:rsidRDefault="00345978" w:rsidP="00345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nAbs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zapobiegać m.in. łączeniu się wirusa z docelowym receptorem na komórce gospodarza (przez co proces wnikania do komórek jest zaburzony), a także doprowadzić do jego zniszczenia (9).</w:t>
      </w:r>
    </w:p>
    <w:p w:rsidR="00345978" w:rsidRPr="00345978" w:rsidRDefault="00345978" w:rsidP="00345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Przeciwciała wytworzone w wyniku pierwotnej infekcji mogą pełnić funkcję ochronną w przypadku reinfekcji.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Dowiedziono, że po zaszczepieniu makaków preparatem zawierającym inaktywowany wirus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(-1) doszło do wytworzenia przeciwciał neutralizujących (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). Wykazano także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wyższą zdolność układu immunologicznego do syntezy specyficznych przeciwciał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wyniku kontaktu z wirusem po uprzednim szczepieniu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(10).</w:t>
      </w:r>
    </w:p>
    <w:p w:rsidR="00345978" w:rsidRPr="00345978" w:rsidRDefault="00345978" w:rsidP="00345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innym badaniu dwukrotnie zakażono makaki SARS-CoV-2. W przypadku kolejnego kontaktu z wirusem (reinfekcji) w wymazach pobranych po 5 dniach od zakażenia nie wykryto genomu wirusa, nie stwierdzono także żadnych patologicznych zmian w obrębie płuc.</w:t>
      </w:r>
      <w:r w:rsidRPr="00345978">
        <w:rPr>
          <w:rFonts w:ascii="Times New Roman" w:eastAsia="Times New Roman" w:hAnsi="Times New Roman" w:cs="Times New Roman"/>
          <w:b/>
          <w:bCs/>
          <w:color w:val="CD201F"/>
          <w:sz w:val="24"/>
          <w:szCs w:val="24"/>
          <w:lang w:eastAsia="pl-PL"/>
        </w:rPr>
        <w:t xml:space="preserve"> Wyniki te wskazują, że u ozdrowieńców makaków nie dochodzi do ponownej infekcji tym samym szczepem wirusa SARS-CoV-2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(11).</w:t>
      </w:r>
    </w:p>
    <w:p w:rsidR="00345978" w:rsidRPr="00345978" w:rsidRDefault="00345978" w:rsidP="00345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ludzi wysokie stężenia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nAbs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skierowanych przeciwko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(-1), które obserwowano po 2–3 miesiącach od wystąpienia objawów, sugerują, że</w:t>
      </w:r>
      <w:r w:rsidRPr="00345978">
        <w:rPr>
          <w:rFonts w:ascii="Times New Roman" w:eastAsia="Times New Roman" w:hAnsi="Times New Roman" w:cs="Times New Roman"/>
          <w:b/>
          <w:bCs/>
          <w:color w:val="CD201F"/>
          <w:sz w:val="24"/>
          <w:szCs w:val="24"/>
          <w:lang w:eastAsia="pl-PL"/>
        </w:rPr>
        <w:t xml:space="preserve"> pasywna immunizacja przy pomocy osocza lub stężonych przeciwciał od osób, które przebyły chorobę, może być jedną z opcji leczenia SARS</w:t>
      </w:r>
      <w:r w:rsidRPr="00345978">
        <w:rPr>
          <w:rFonts w:ascii="Times New Roman" w:eastAsia="Times New Roman" w:hAnsi="Times New Roman" w:cs="Times New Roman"/>
          <w:color w:val="CD201F"/>
          <w:sz w:val="24"/>
          <w:szCs w:val="24"/>
          <w:lang w:eastAsia="pl-PL"/>
        </w:rPr>
        <w:t xml:space="preserve"> 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(12).</w:t>
      </w:r>
    </w:p>
    <w:p w:rsidR="00345978" w:rsidRPr="00345978" w:rsidRDefault="00345978" w:rsidP="00345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leczeniu COVID-19 zaczęto z powodzeniem wykorzystywać przeciwciała anty-SARS-CoV-2 pozyskane od ozdrowieńców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(5). Pierwsze badania przeprowadzono na 5 zakażonych SARS-CoV-2 w stanie krytycznym, którym podano przeciwciała pozyskane od ozdrowieńców (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mianie 1:1000, miano neutralizujące &gt; 40), co doprowadziło do szybkiej poprawy stanu ich zdrowia (brak materiału genetycznego 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wirusa w próbkach pobranych po 12 dniach od podania przeciwciał) (13). W innych badaniach stwierdzono, że w przypadku 10 pacjentów z COVID-19 w stanie ciężkim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pojedynczej dawki osocza (200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pobranego od osób, które przeszły infekcję nowym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skracało czas trwania objawów, a nawet prawdopodobnie ratowało życie pacjentów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. Wśród pacjentów z grupy kontrolnej, którzy nie otrzymali osocza pobranego od ozdrowieńców, przebieg infekcji był cięższy, a troje chorych zmarło (14).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Przeciwciała anty-SARS-CoV-2 i ich antygen docelowy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373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418510"/>
            <wp:effectExtent l="0" t="0" r="0" b="1270"/>
            <wp:docPr id="2" name="Obraz 2" descr="C:\Documents and Settings\oem\Pulpit\bi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Pulpit\bial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78" w:rsidRPr="00345978" w:rsidRDefault="00345978" w:rsidP="00345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Podjednostka S1 białka S SARS-CoV-2 łączy się z receptorem ACE2 (</w:t>
      </w:r>
      <w:proofErr w:type="spellStart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Angiotensin-Converting</w:t>
      </w:r>
      <w:proofErr w:type="spellEnd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Enzyme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obecnym na komórkach nabłonka pęcherzyków płucnych, co umożliwia wniknięcie wirusa do komórki docelowej (15). Wydaje się więc, że </w:t>
      </w:r>
      <w:r w:rsidRPr="00345978">
        <w:rPr>
          <w:rFonts w:ascii="Times New Roman" w:eastAsia="Times New Roman" w:hAnsi="Times New Roman" w:cs="Times New Roman"/>
          <w:b/>
          <w:bCs/>
          <w:color w:val="CD201F"/>
          <w:sz w:val="24"/>
          <w:szCs w:val="24"/>
          <w:lang w:eastAsia="pl-PL"/>
        </w:rPr>
        <w:t>przeciwciała skierowane przeciwko temu białku mogą pełnić kluczową rolę w odporności na COVID-19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nAbs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skierowane przeciwko domenie S1 mogą przerwać interakcję wirusa z ACE2 (9). W przypadku zakażeń SARS-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ustalono, że </w:t>
      </w:r>
      <w:r w:rsidRPr="00345978">
        <w:rPr>
          <w:rFonts w:ascii="Times New Roman" w:eastAsia="Times New Roman" w:hAnsi="Times New Roman" w:cs="Times New Roman"/>
          <w:b/>
          <w:bCs/>
          <w:color w:val="CD201F"/>
          <w:sz w:val="24"/>
          <w:szCs w:val="24"/>
          <w:lang w:eastAsia="pl-PL"/>
        </w:rPr>
        <w:t>specyficzne przeciwciała przeciwko białku S jako jedyne mają właściwości neutralizujące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(16).</w:t>
      </w:r>
    </w:p>
    <w:p w:rsidR="00345978" w:rsidRPr="00345978" w:rsidRDefault="00345978" w:rsidP="00345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nad SARS-CoV-2 wykazały, że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nowy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 większe powinowactwo do receptora ACE2 w porównaniu do SARS-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(-1)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związku z tym transmisja COVID-19 jest prawdopodobnie łatwiejsza niż w przypadku epidemii SARS, która miała miejsce w 2003 roku.</w:t>
      </w:r>
    </w:p>
    <w:p w:rsidR="00345978" w:rsidRPr="00345978" w:rsidRDefault="00345978" w:rsidP="00345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Wykazano ścisłą </w:t>
      </w: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korelację pomiędzy testem EUROIMMUN ELISA Anty-SARS-CoV-2 (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IgA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który jest oparty o antygen S1, a testem neutralizacji PRNT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Plaque</w:t>
      </w:r>
      <w:proofErr w:type="spellEnd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Reduction</w:t>
      </w:r>
      <w:proofErr w:type="spellEnd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Neutralization</w:t>
      </w:r>
      <w:proofErr w:type="spellEnd"/>
      <w:r w:rsidRPr="003459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Test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) (17). Test PRNT uważa się za „złoty standard” pomiaru skuteczności przeciwciał w neutralizowaniu wirusów chorobotwórczych (18).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wyniki badań nad zastosowaniem przeciwciał neutralizujących anty-SARS-CoV-2 w walce z najcięższymi przypadkami COVID-19 są bardzo obiecujące. Ich potwierdzenie w dalszych badaniach mogłoby oznaczać, że po przebytym zakażeniu rozwija się odporność na reinfekcję SARS-CoV-2. Trudno jednak obecnie ocenić, czy specyficzne przeciwciała anty-SARS-CoV-2 w klasie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pełniły funkcje ochronne przez wiele lat. Na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seroprotekcję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wpływ wiele czynników. Jeśli nowy </w:t>
      </w:r>
      <w:proofErr w:type="spellStart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często mutował, powstałe 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wcześniejszej infekcji przeciwciała mogą być niewystarczające w walce z nowym szczepem SARS-CoV-2.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5978" w:rsidRPr="00345978" w:rsidRDefault="0091639D" w:rsidP="0034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345978" w:rsidRPr="003459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CD1619"/>
            <w:lang w:eastAsia="pl-PL"/>
          </w:rPr>
          <w:t xml:space="preserve">Dlaczego warto oznaczać przeciwciała </w:t>
        </w:r>
        <w:proofErr w:type="spellStart"/>
        <w:r w:rsidR="00345978" w:rsidRPr="003459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CD1619"/>
            <w:lang w:eastAsia="pl-PL"/>
          </w:rPr>
          <w:t>IgG</w:t>
        </w:r>
        <w:proofErr w:type="spellEnd"/>
        <w:r w:rsidR="00345978" w:rsidRPr="0034597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CD1619"/>
            <w:lang w:eastAsia="pl-PL"/>
          </w:rPr>
          <w:t xml:space="preserve"> skierowane przeciwko SARS-CoV-2? – pobierz ulotkę</w:t>
        </w:r>
      </w:hyperlink>
    </w:p>
    <w:p w:rsidR="00E864BD" w:rsidRPr="00E864BD" w:rsidRDefault="00345978" w:rsidP="00E864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podobieństwa pomiędzy SARS-</w:t>
      </w:r>
      <w:proofErr w:type="spellStart"/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 i SARS-CoV-2 można przypuszczać, że u pacjentów, którzy przebyli infekcję nowym </w:t>
      </w:r>
      <w:proofErr w:type="spellStart"/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864BD"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specyficzne przeciwciała anty-SARS-CoV-2 </w:t>
      </w:r>
      <w:proofErr w:type="spellStart"/>
      <w:r w:rsidR="00E864BD"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IgG</w:t>
      </w:r>
      <w:proofErr w:type="spellEnd"/>
      <w:r w:rsidR="00E864BD"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pozostaną obecne we krwi przez dłuższy czas</w:t>
      </w:r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Wstępne badania wykazały, że </w:t>
      </w:r>
      <w:r w:rsidR="00E864BD"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przeciwciała przeciwko białku S SARS-CoV-2 </w:t>
      </w:r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 funkcję neutralizującą,</w:t>
      </w:r>
      <w:r w:rsidR="00E864BD"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w przypadku infekcji SARS-</w:t>
      </w:r>
      <w:proofErr w:type="spellStart"/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="00E864BD"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(-1). </w:t>
      </w:r>
    </w:p>
    <w:p w:rsidR="00E864BD" w:rsidRPr="00E864BD" w:rsidRDefault="00E864BD" w:rsidP="00E864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modelu zwierzęcym wykazano, że obecność przeciwciał wytworzonych w wyniku pierwotnej infekcji może pełnić </w:t>
      </w:r>
      <w:r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funkcję ochronną w przypadku reinfekcji</w:t>
      </w: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4BD" w:rsidRPr="00E864BD" w:rsidRDefault="00E864BD" w:rsidP="00E864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pacjentów z ciężkim przebiegiem COVID-19 zaczęto z powodzeniem wykorzystywać </w:t>
      </w:r>
      <w:r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osocze</w:t>
      </w: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przeciwciała anty-SARS-CoV-2 </w:t>
      </w:r>
      <w:r w:rsidRPr="00E8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pozyskane od ozdrowieńców</w:t>
      </w: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</w:t>
      </w: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Małgorzata Walerych</w:t>
      </w: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Regionu</w:t>
      </w: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EUROIMMUN Polska</w:t>
      </w: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m.walerych@euroimmun.pl</w:t>
      </w:r>
    </w:p>
    <w:p w:rsidR="00E864BD" w:rsidRPr="00E864BD" w:rsidRDefault="00E864BD" w:rsidP="00E8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kom. 509 836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64BD">
        <w:rPr>
          <w:rFonts w:ascii="Times New Roman" w:eastAsia="Times New Roman" w:hAnsi="Times New Roman" w:cs="Times New Roman"/>
          <w:sz w:val="24"/>
          <w:szCs w:val="24"/>
          <w:lang w:eastAsia="pl-PL"/>
        </w:rPr>
        <w:t>090</w:t>
      </w: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978" w:rsidRPr="00345978" w:rsidRDefault="00345978" w:rsidP="0034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Bibliografia</w:t>
      </w:r>
      <w:r w:rsidRPr="00345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Furst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D.E.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Serum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Immunoglobulins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Risk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How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Low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Go?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Semin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Arthritis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Rheum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2009, 39(1), strony 18–29.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2. </w:t>
      </w:r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Napiórkowska-Baran K.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Oznaczanie przeciwciał w codziennej praktyce. Część I – właściwości przeciwciał. Alergia Astma Immunologia. 2019, 24(2), strony 51–58.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3. </w:t>
      </w:r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Logan E.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Elevated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Responses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Infants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Are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Associated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Reduced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Prevalence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Mycobacterium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tuberculosis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Front.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[Online] 02 07 2018. [Zacytowano: 16 04 2020.] https://www.frontiersin.org/articles/10.3389/fimmu.2018.01529/full.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Caldas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I.R.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Collaborative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group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studies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yellow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fever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vaccines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Duration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post-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vaccination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immunity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against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yellow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fever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adults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Vaccine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2014, 32, strony 4977–4984.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Jiang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Neutralizing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against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SARS-CoV-2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Other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Human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Trends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Immunology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[Online] 02 04 2020. [Zacytowano: 16 04 2020.] https://doi.org/10.1016/j.it.2020.03.007.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Woo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P.C.Y.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Longitudinal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Profile of Immunoglobulin G (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IgA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against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Severe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Acute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Respiratory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Syndrome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(SARS)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Nucleocapsid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Protein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Patients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Pneumonia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Due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the SARS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Clinical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Diagnostic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Laboratory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Immunology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2004, 11(4), strony 665–668.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Zhao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J.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responses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SARS-CoV-2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patients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novel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medRxiv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Preprint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). [Online] 03 03 2020. [Zacytowano: 16 04 2020.] https://doi.org/10.1101/2020.03.02.20030189.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8. </w:t>
      </w:r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Tang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Xiao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Profile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Specific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SARS-CoV-2: The First Report.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Journal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[Online] 11 03 2020. [Zacytowano: 16 04 2020.] https://doi.org/10.1016/j.jinf.2020.03.012.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9.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Zhou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G.,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Zhao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Q.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Perspectives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therapeutic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neutralizing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against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Novel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SARS-CoV-2.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J. Biol.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Sci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2020, 16(10), strony 1718–1723.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Zhou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J.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Immunogenicity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safety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protective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efficacy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inactivated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SARS-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associated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vaccine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rhesus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monkeys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Vaccine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2005, 23, strony 3202–3209.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Bao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Reinfection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could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occur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SARS-CoV-2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rhesus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macaques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bioRxiv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Preprint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). [Online] 14 03 2020. [Zacytowano: 16 04 2020.] https://doi.org/10.1101/2020.03.13.990226.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12.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Hsueh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P.-R.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Chronological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evolution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IgA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IgG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neutralisation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after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SARS-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associated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Clin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Microbiol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2004, 10, strony 1062–1066.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Shen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Treatment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5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Critically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Ill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Patients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COVID-19 with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Convalescent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Plasma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JAMA. [Online] 27 03 2020. [Zacytowano: 16 04 2020.] doi:10.1001/jama.2020.4783.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14.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Duan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Effectiveness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convalescent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plasma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therapy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severe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patients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PNAS. [Online] 06 04 2020. [Zacytowano: 16 04 2020.] https://www.pnas.org/content/early/2020/04/02/2004168117.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15. </w:t>
      </w:r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Hoffmann M.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SARS-CoV-2 Cell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Entry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Depends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ACE2 and TMPRSS2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Blocked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 a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Clinically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Proven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Protease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Inhibitor. Cell. [Online] 2020. doi: 10.1016/j.cell.2020.02.052.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16.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Yu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Retrospective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Serological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Investigation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Severe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Acute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Respiratory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Syndrome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Coronavirus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Antibodies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Recruits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from Mainland China.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Clin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Diagn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Lab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Immunol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2005, 12(4), strony 552–554.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17.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Okba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N.M.A.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SARS-CoV-2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specific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antibody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responses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COVID-19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patients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medRxiv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Preprint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). [Online] 20 03 2020. [Zacytowano: 16 04 2020.] doi: 10.1101/2020.03.18.20038059.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18. </w:t>
      </w:r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Thomas S.J. i </w:t>
      </w:r>
      <w:proofErr w:type="spellStart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</w:t>
      </w:r>
      <w:proofErr w:type="spellEnd"/>
      <w:r w:rsidRPr="00345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Dengue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Plaque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Reduction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Neutralization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Test (PRNT)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Primary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Secondary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Dengue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Virus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Infections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How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Alterations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Assay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Conditions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Impact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Performance. The American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Journal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Tropical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Medicine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Hygiene</w:t>
      </w:r>
      <w:proofErr w:type="spellEnd"/>
      <w:r w:rsidRPr="00345978">
        <w:rPr>
          <w:rFonts w:ascii="Times New Roman" w:eastAsia="Times New Roman" w:hAnsi="Times New Roman" w:cs="Times New Roman"/>
          <w:sz w:val="20"/>
          <w:szCs w:val="20"/>
          <w:lang w:eastAsia="pl-PL"/>
        </w:rPr>
        <w:t>. 2009, 81(5), strony 825–83</w:t>
      </w:r>
    </w:p>
    <w:p w:rsidR="00F948C2" w:rsidRDefault="0091639D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936"/>
    <w:multiLevelType w:val="multilevel"/>
    <w:tmpl w:val="1768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51F32"/>
    <w:multiLevelType w:val="multilevel"/>
    <w:tmpl w:val="073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C6EA5"/>
    <w:multiLevelType w:val="multilevel"/>
    <w:tmpl w:val="FA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D1341"/>
    <w:multiLevelType w:val="multilevel"/>
    <w:tmpl w:val="A52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46B27"/>
    <w:multiLevelType w:val="multilevel"/>
    <w:tmpl w:val="EC8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78"/>
    <w:rsid w:val="00237304"/>
    <w:rsid w:val="00322D54"/>
    <w:rsid w:val="00345978"/>
    <w:rsid w:val="0091639D"/>
    <w:rsid w:val="00971366"/>
    <w:rsid w:val="00E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345978"/>
  </w:style>
  <w:style w:type="character" w:styleId="Hipercze">
    <w:name w:val="Hyperlink"/>
    <w:basedOn w:val="Domylnaczcionkaakapitu"/>
    <w:uiPriority w:val="99"/>
    <w:semiHidden/>
    <w:unhideWhenUsed/>
    <w:rsid w:val="00345978"/>
    <w:rPr>
      <w:color w:val="0000FF"/>
      <w:u w:val="single"/>
    </w:rPr>
  </w:style>
  <w:style w:type="character" w:customStyle="1" w:styleId="byline">
    <w:name w:val="byline"/>
    <w:basedOn w:val="Domylnaczcionkaakapitu"/>
    <w:rsid w:val="00345978"/>
  </w:style>
  <w:style w:type="character" w:customStyle="1" w:styleId="author">
    <w:name w:val="author"/>
    <w:basedOn w:val="Domylnaczcionkaakapitu"/>
    <w:rsid w:val="00345978"/>
  </w:style>
  <w:style w:type="paragraph" w:styleId="NormalnyWeb">
    <w:name w:val="Normal (Web)"/>
    <w:basedOn w:val="Normalny"/>
    <w:uiPriority w:val="99"/>
    <w:semiHidden/>
    <w:unhideWhenUsed/>
    <w:rsid w:val="0034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978"/>
    <w:rPr>
      <w:b/>
      <w:bCs/>
    </w:rPr>
  </w:style>
  <w:style w:type="character" w:styleId="Uwydatnienie">
    <w:name w:val="Emphasis"/>
    <w:basedOn w:val="Domylnaczcionkaakapitu"/>
    <w:uiPriority w:val="20"/>
    <w:qFormat/>
    <w:rsid w:val="003459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345978"/>
  </w:style>
  <w:style w:type="character" w:styleId="Hipercze">
    <w:name w:val="Hyperlink"/>
    <w:basedOn w:val="Domylnaczcionkaakapitu"/>
    <w:uiPriority w:val="99"/>
    <w:semiHidden/>
    <w:unhideWhenUsed/>
    <w:rsid w:val="00345978"/>
    <w:rPr>
      <w:color w:val="0000FF"/>
      <w:u w:val="single"/>
    </w:rPr>
  </w:style>
  <w:style w:type="character" w:customStyle="1" w:styleId="byline">
    <w:name w:val="byline"/>
    <w:basedOn w:val="Domylnaczcionkaakapitu"/>
    <w:rsid w:val="00345978"/>
  </w:style>
  <w:style w:type="character" w:customStyle="1" w:styleId="author">
    <w:name w:val="author"/>
    <w:basedOn w:val="Domylnaczcionkaakapitu"/>
    <w:rsid w:val="00345978"/>
  </w:style>
  <w:style w:type="paragraph" w:styleId="NormalnyWeb">
    <w:name w:val="Normal (Web)"/>
    <w:basedOn w:val="Normalny"/>
    <w:uiPriority w:val="99"/>
    <w:semiHidden/>
    <w:unhideWhenUsed/>
    <w:rsid w:val="0034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978"/>
    <w:rPr>
      <w:b/>
      <w:bCs/>
    </w:rPr>
  </w:style>
  <w:style w:type="character" w:styleId="Uwydatnienie">
    <w:name w:val="Emphasis"/>
    <w:basedOn w:val="Domylnaczcionkaakapitu"/>
    <w:uiPriority w:val="20"/>
    <w:qFormat/>
    <w:rsid w:val="003459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immun.pl/blog/czy-przeciwciala-igg-pelnia-funkcje-ochronna-w-infekcji-sars-cov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oimmun.pl/blog/author/agata-gizy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immun.pl/blog/czy-przeciwciala-igg-pelnia-funkcje-ochronna-w-infekcji-sars-cov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oimmun.pl/blog/wp-content/uploads/2020/04/Dlaczego-warto-oznacza%C4%87-przeciwcia%C5%82a-IgG-skierowane-przeciwko-SARS-CoV-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1906</Words>
  <Characters>11439</Characters>
  <Application>Microsoft Office Word</Application>
  <DocSecurity>0</DocSecurity>
  <Lines>95</Lines>
  <Paragraphs>26</Paragraphs>
  <ScaleCrop>false</ScaleCrop>
  <Company>Sil-art Rycho444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2020-04-22T10:48:00Z</dcterms:created>
  <dcterms:modified xsi:type="dcterms:W3CDTF">2020-04-22T11:00:00Z</dcterms:modified>
</cp:coreProperties>
</file>