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42" w:rsidRPr="00311E42" w:rsidRDefault="00311E42" w:rsidP="00311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311E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Jakie znaczenie mają przeciwciała monoklonalne w leczeniu COVID-19?</w:t>
      </w:r>
    </w:p>
    <w:p w:rsidR="00311E42" w:rsidRPr="00311E42" w:rsidRDefault="00311E42" w:rsidP="00311E42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08.04.2021</w:t>
      </w:r>
    </w:p>
    <w:p w:rsidR="00311E42" w:rsidRPr="00311E42" w:rsidRDefault="00311E42" w:rsidP="00311E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n. med. Weronika Rymer</w:t>
      </w:r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Polski Instytut </w:t>
      </w:r>
      <w:proofErr w:type="spellStart"/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Evidence</w:t>
      </w:r>
      <w:proofErr w:type="spellEnd"/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Based</w:t>
      </w:r>
      <w:proofErr w:type="spellEnd"/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Medicine</w:t>
      </w:r>
      <w:proofErr w:type="spellEnd"/>
      <w:r w:rsidRPr="00311E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Kraków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Jak cytować</w:t>
      </w:r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Wroczyńska A., Kuna A.,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Ściubsz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M., Rymer W.,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Goncerz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G.,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Mrukowicz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J.: COVID-19 – co nowego w leczeniu i profilaktyce. Med.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Prakt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., 2021; 4: 122–140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Skróty</w:t>
      </w:r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ACE2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konwertaza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angiotensyny typu 2, ACR – American College of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Rheumatology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ADE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antibody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-dependent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enhancement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wzmocnienie zakażenia zależne od przeciwciał,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AOTMiT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Agencja Oceny Technologii Medycznych i Taryfikacji, CDC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Centers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for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Disease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Control and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Prevention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COVID-19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coronavirus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disease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choroba spowodowana przez SARS-CoV-2, CVST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cerebral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venous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sinus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thrombosis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zakrzepica zatok żylnych mózgu, DIC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disseminated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intravascular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coagulation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zespół rozsianego krzepnięcia wewnątrznaczyniowego, ECDC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European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Centre for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Disease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Prevention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and Control, EMA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European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Medicines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Agency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EUS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emergency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use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authorization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zezwolenie na użycie (leku) w sytuacji wyjątkowej, GKS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glikokortykosteroid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(y), HFNOT (</w:t>
      </w:r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high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flow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nasal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oxygen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therapy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wysokoprzepływowa tlenoterapia donosowa, IL-6 – interleukina 6, IVIG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intravenous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immune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globulin</w:t>
      </w:r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immunoglobuliny dożylne, JAK (</w:t>
      </w:r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Janus-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activated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kinases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kinazy janusowe, LAMP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loop-mediated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isothermal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amplification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izotermalna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amplifikacja DNA za pośrednictwem pętli,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mAbs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monoclonal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antibodies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przeciwciała monoklonalne,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nAbs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neutralizing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antibody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przeciwciała neutralizujące, NIH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National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Institutes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of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Health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OIT – oddział intensywnej terapii, PRAC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Pharmacovigilance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Risk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Assessment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Committee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(Komitet ds. Bezpieczeństwa Farmakoterapii i Oceny Ryzyka),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PTEiLChZ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– Polskie Towarzystwo Epidemiologów i Lekarzy Chorób Zakaźnych, RADT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rapid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antigen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detection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tests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szybkie diagnostyczne testy antygenowe, RBD (</w:t>
      </w:r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receptor-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binding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domain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domena wiążąca receptor, RCT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randomized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controlled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trial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badanie z randomizacją, RT-PCR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reverse-transcriptase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polymerase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chain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reaction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reakcja odwrotnej transkrypcji i reakcja łańcuchowa polimerazy, SARS-CoV-2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severe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acute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respiratory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syndrome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coronavirus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2</w:t>
      </w:r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) – </w:t>
      </w:r>
      <w:proofErr w:type="spellStart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koronawirus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zespołu ciężkiej niewydolności oddechowej typu 2, SpO</w:t>
      </w:r>
      <w:r w:rsidRPr="00311E42">
        <w:rPr>
          <w:rFonts w:ascii="Arial" w:eastAsia="Times New Roman" w:hAnsi="Arial" w:cs="Arial"/>
          <w:color w:val="333333"/>
          <w:sz w:val="12"/>
          <w:szCs w:val="12"/>
          <w:vertAlign w:val="subscript"/>
          <w:lang w:eastAsia="pl-PL"/>
        </w:rPr>
        <w:t>2</w:t>
      </w:r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– wysycenie krwi tętniczej tlenem, TACO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transfusion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associated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circulatory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overload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poprzetoczeniowe przeciążenie układu krążenia, TNF (</w:t>
      </w:r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tumor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necrosis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factor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czynnik martwicy nowotworów, TRALI (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transfusion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related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acute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lung</w:t>
      </w:r>
      <w:proofErr w:type="spellEnd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311E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injury</w:t>
      </w:r>
      <w:proofErr w:type="spellEnd"/>
      <w:r w:rsidRPr="00311E4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 – ostre poprzetoczeniowe uszkodzenie płuc</w:t>
      </w:r>
    </w:p>
    <w:p w:rsidR="00311E42" w:rsidRPr="00311E42" w:rsidRDefault="00311E42" w:rsidP="00311E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Jeśli nie zaznaczono inaczej, informacje i zalecenia przedstawione w niniejszym artykule oparto na danych zebranych do 25 marca br. Informacje dotyczące pandemii COVID-19 są aktualizowane online w serwisie </w:t>
      </w:r>
      <w:hyperlink r:id="rId4" w:history="1">
        <w:r w:rsidRPr="00311E42">
          <w:rPr>
            <w:rFonts w:ascii="Times New Roman" w:eastAsia="Times New Roman" w:hAnsi="Times New Roman" w:cs="Times New Roman"/>
            <w:color w:val="00477F"/>
            <w:sz w:val="24"/>
            <w:szCs w:val="24"/>
            <w:lang w:eastAsia="pl-PL"/>
          </w:rPr>
          <w:t>www.mp.pl/covid19</w:t>
        </w:r>
      </w:hyperlink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1E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Jakie znaczenie mają przeciwciała monoklonalne w leczeniu COVID-19?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Przeciwciała monoklonalne (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stanowią szybko rozwijającą się grupę leków. Obecnie są szeroko stosowane w leczeniu chorób o podłożu immunologicznym oraz w onkologii. Od kilku lat wykorzystuje się je również w leczeniu i profilaktyce zakażeń.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Paliwizumab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skierowany przeciw białku F wirusa RSV, jest pierwszym lekiem z tej grupy.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Aby przeniknąć do komórki, wirusy w swoim cyklu rozwojowym wymagają związania powierzchownych białek wirusowych z odpowiadającymi im cząsteczkami receptorowymi znajdującymi się na powierzchni komórki docelowej. Przeciwciała są jedną z linii obronnych organizmu i w zakażeniach wirusowych ich rola polega na neutralizacji wirusa, przez co 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zapobiegają lub zmniejszają jego zdolność do zakażenia komórki docelowej, a tym samym zmniejszają jego zakaźność (przeciwciała neutralizujące –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W przypadku wirusów otoczkowych, a do takich należą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koronawirusy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są skierowane przeciwko glikoproteinom otoczki i powodują zakłócenie łączenia się patogenu z komórką docelową. Mogą też prowadzić do agregacji wirusów, co również zaburza ich cykl rozwojowy.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koronawirusów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białkiem odpowiadającym za przyłączenie do komórki jest białko powierzchniowe kodowane przez gen S (białko S) budujące kolec – wypustkę wirusa nadającą mu charakterystyczny wygląd.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3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Odgrywa ono rolę nie tylko w przyłączeniu wirusa do komórki, ale również w fuzji z błoną komórkową i wniknięciu do jej wnętrza. Jest to białko zbudowane z podjednostek: N-końcowej S1 i C-końcowej S2. Podjednostka S1 podzielona jest na domenę N-końcową (NTD) i domenę wiążącą receptor (RBD) i wchodzi w interakcję z 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konwertazą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angiotensyny typu 2 (ACE2), będącą dla niej receptorem. Białko S2 z kolei pośredniczy w fuzji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wirionu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błony komórkowej. W czasie zakażenia wirus najpierw przyłącza się do komórki gospodarza poprzez interakcję między S1-RBD a jej receptorem znajdującym się na błonie komórkowej. Powoduje to zmiany konformacyjne w podjednostce S2, które prowadzą do fuzji wirusa z błoną komórkową i wejścia do komórki docelowej.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4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wytworzone przez organizm powstają w efekcie zakażenia lub szczepienia i odgrywają zasadniczą rolę w kontrolowaniu infekcji wirusowej. Wykazano, że u chorych na COVID-19 neutralizująca aktywność osocza była skorelowana z wielkością odpowiedzi przeciwciał na białka S i N SARS-CoV-2.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Ich działanie wykorzystuje się już w terapii chorych na COVID-19, stosując osocze ozdrowieńców. Alternatywą są monoklonalne przeciwciała neutralizujące (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Dane płynące z badań klinicznych II i III fazy wskazują, że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skierowane przeciwko białku S mogą ograniczać progresję do ciężkiego przebiegu COVID-19 u pacjentów z chorobą o łagodnym bądź umiarkowanym przebiegu. Być może w przyszłości będą mogły być również wykorzystywane do zapobiegania zakażeniu SARS-CoV-2.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Należy podkreślić, że choć zarówno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jak i osocze ozdrowieńców zawierają przeciwciała neutralizujące wirusa, to nie można tych preparatów w tej chwili stawiać na równi. W osoczu ozdrowieńców znajduje się mieszanina przeciwciał skierowanych przeciwko wielu różnym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epitopom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 tym mieszanina przeciwciał neutralizujących SARS-CoV-2. Każdy preparat będzie różny, ponieważ pochodzi od różnych dawców, co więcej – preparaty osocza pochodzące od jednego dawcy będą również się nieco różniły między poszczególnymi donacjami. Immunoglobuliny zawarte w osoczu przynależą do różnych klas i podklas. Choć w terapii stosuje się osocze ozdrowieńców cechujące się wysokim mianem przeciwciał anty-SARS-CoV-2, co przekłada się też na obecność wśród nich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to w rutynowej praktyce nie ocenia się jednak, przeciwko którym fragmentom białka S i białka N są one skierowane. W praktyce klinicznej osocze ozdrowieńców stosuje się niemal od początku epidemii COVID-19, jednak nadal trwa dyskusja na temat skuteczności tej terapii. Zastosowanie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ma sens na początku choroby, gdy wirus intensywnie się replikuje. Choć nie można wykluczyć działania immunologicznego osocza ozdrowieńców, to jednak najlepszy efekt się uzyskuje, podając je w początkowej fazie choroby.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Libster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wykazali w badaniu z randomizacją i z użyciem placebo, że u osób w wieku &gt;75 lat podanie osocza ozdrowieńców cechującego się wysokim mianem przeciwciał anty-SARS-CoV-2 w ciągu 72 godzin od pojawienia się pierwszych łagodnych objawów COVID-19 zmniejszało ryzyko progresji do ciężkiej postaci COVID-19.6 Eksperci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PTEiLChZ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zalecają, aby osocze podawać w okresie namnażania wirusa.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7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Autorzy wytycznych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AOTMiT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zalecają podawanie osocza najpóźniej do 8. dnia od początku objawów u chorych w ciężkim stanie, choć zaznaczają 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jednocześnie, że korzyści są bardzo ograniczone.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8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 ostatnio opublikowanym przeglądzie systematycznym z </w:t>
      </w:r>
      <w:hyperlink r:id="rId5" w:history="1">
        <w:r w:rsidRPr="00311E42">
          <w:rPr>
            <w:rFonts w:ascii="Times New Roman" w:eastAsia="Times New Roman" w:hAnsi="Times New Roman" w:cs="Times New Roman"/>
            <w:color w:val="00477F"/>
            <w:sz w:val="24"/>
            <w:szCs w:val="24"/>
            <w:lang w:eastAsia="pl-PL"/>
          </w:rPr>
          <w:t>metaanalizą</w:t>
        </w:r>
      </w:hyperlink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wykazano jednak, że u chorych na COVID-19 stosowanie osocza ozdrowieńców w porównaniu ze stosowaniem placebo i/lub opieki standardowej nie wpływa na ryzyko zgonu z jakiejkolwiek przyczyny, konieczność zastosowania wentylacji mechanicznej, czas hospitalizacji ani nie wiąże się z poprawą stanu klinicznego.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9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przeciwieństwie do osocza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powstałe dzięki inżynierii genetycznej są preparatami bardzo homogennymi. Zawierają jeden konkretny rodzaj przeciwciał, a dzięki temu, że powstają w laboratorium, można modyfikować fragment wiążący antygen w rejonie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Fab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tak, aby go ukierunkować na rozpoznanie konkretnych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epitopów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w tym takich, które są bardziej stabilne, tzn. niepodlegające większej zmienności. Istnieje również możliwość modyfikowania rejonu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Fc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przeciwciał, co wpływa na ich funkcje efektorowe. W przeciwieństwie do osocza, które w niektórych ośrodkach zaczęto stosować, zanim ukazały się pierwsze doniesienia na temat jego skuteczności, wprowadzenie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leczenia nie może się odbyć przed oceną skuteczności i bezpieczeństwa w badaniach klinicznych I–III fazy.</w:t>
      </w:r>
    </w:p>
    <w:p w:rsidR="00311E42" w:rsidRP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listopadzie 2020 roku amerykańska Agencja ds. Żywności i Leków (FDA) wystawiła po raz pierwszy zezwolenie na użycie w sytuacji wyjątkowej (EUA) przeciwciał monoklonalnych przeznaczonych dla osób zakażonych SARS-CoV-2: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bamlaniwimabu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(Eli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Lilly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oraz preparatu złożonego z 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kasiriwimabu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 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imdewimabem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(preparat REGN-COV2,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Regeneron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Pharmaceuticals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), a w lutym 2021 roku dla preparatu złożonego z 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bamlaniwimabu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etesewimabu.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10,11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26 lutego 2021 roku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European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Medicines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Agency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(EMA) wyraziła pozytywną opinię odnośnie do stosowania u chorych na COVID-19 preparatu zawierającego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kasiriwimab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imdewimab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a 5 marca odnośnie do stosowania preparatu zawierającego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bamlaniwimab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etesewimab.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12,13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Zarówno opinia EMA, jak i wydanie EUA przez FDA nie są równoznaczne z zatwierdzeniem leków do obrotu. Dopuszczają natomiast możliwość zastosowania leków na terytoriach Unii Europejskiej (EMA) i Stanów Zjednoczonych (FDA). Obecnie – choć danych naukowych jest coraz więcej – nadal trwa proces weryfikacji danych dotyczących skuteczności i bezpieczeństwa stosowania tych leków. W Polsce panel ekspertów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AOTMiT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dokonał na razie oceny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bamlaniwimabu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nie zaleca rutynowego stosowania tego leku do czasu potwierdzenia jego efektywności klinicznej oraz ustalenia szczegółowych wskazań i dawkowania.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8</w:t>
      </w:r>
    </w:p>
    <w:p w:rsidR="00311E42" w:rsidRDefault="00311E42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EMA i FDA zaopiniowały pozytywnie stosowanie wyżej wymienionych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mAbs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 chorych w wieku ≥12 lat, z potwierdzonym zakażeniem SARS-CoV-2, którzy nie wymagają hospitalizacji, ale mają czynniki ryzyka ciężkiego przebiegu COVID-19. Według FDA do leczenia kwalifikują się osoby o masie ciała ≥40 kg, u których występuje ≥1 z następujących czynników: otyłość (BMI ≥35 kg/m</w:t>
      </w:r>
      <w:r w:rsidRPr="00311E42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</w:t>
      </w:r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), przewlekła choroba nerek, cukrzyca, stan immunosupresji lub otrzymywanie leczenia immunosupresyjnego, wiek ≥65 lat. Preparaty te można zastosować także u chorych w wieku ≥55 lat, jeśli współwystępuje choroba układu sercowo-naczyniowego, nadciśnienie tętnicze, przewlekła obturacyjna choroba płuc lub inna przewlekła choroba układu oddechowego, a także u chorych w wieku 12–17 lat, jeśli współwystępuje BMI ≥85.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centyla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danego wieku, niedokrwistość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sierpowatokrwinkowa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choroba serca, zaburzenie </w:t>
      </w:r>
      <w:proofErr w:type="spellStart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neurorozwojowe</w:t>
      </w:r>
      <w:proofErr w:type="spellEnd"/>
      <w:r w:rsidRPr="00311E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astma lub inna przewlekła choroba układu oddechowego wymagająca codziennego stosowania leków, lub zależność od technologicznych rozwiązań stosowanych w medycynie (np. chorzy z tracheostomią, gastrostomią itp.).</w:t>
      </w:r>
    </w:p>
    <w:p w:rsidR="00FF6CE6" w:rsidRDefault="00FF6CE6" w:rsidP="00FF6CE6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>Oba leki podaje się dożylnie w powolnym wlewie, w placówce medycznej wyposażonej w leki i sprzęt do leczenia ciężkich reakcji poprzetoczeniowych. Pacjenta powinno się obserwować przez co najmniej godzinę po podaniu leku.</w:t>
      </w:r>
    </w:p>
    <w:p w:rsidR="00FF6CE6" w:rsidRDefault="00FF6CE6" w:rsidP="00FF6CE6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W tabeli 2 zestawiono preparaty zawierające </w:t>
      </w:r>
      <w:proofErr w:type="spellStart"/>
      <w:r>
        <w:rPr>
          <w:rFonts w:ascii="Verdana" w:hAnsi="Verdana"/>
          <w:color w:val="333333"/>
          <w:sz w:val="21"/>
          <w:szCs w:val="21"/>
        </w:rPr>
        <w:t>nAbs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przeznaczone do stosowania u chorych na COVID-19.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555"/>
        <w:gridCol w:w="1771"/>
        <w:gridCol w:w="1788"/>
        <w:gridCol w:w="2278"/>
      </w:tblGrid>
      <w:tr w:rsidR="00FF6CE6" w:rsidTr="00FF6CE6">
        <w:trPr>
          <w:tblCellSpacing w:w="15" w:type="dxa"/>
        </w:trPr>
        <w:tc>
          <w:tcPr>
            <w:tcW w:w="0" w:type="auto"/>
            <w:gridSpan w:val="5"/>
            <w:shd w:val="clear" w:color="auto" w:fill="00C2C9"/>
            <w:vAlign w:val="center"/>
            <w:hideMark/>
          </w:tcPr>
          <w:p w:rsidR="00FF6CE6" w:rsidRDefault="00FF6CE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Tabela 2. Preparaty zawierające przeciwciała do stosowania u osób zakażonych SARS-CoV-2</w:t>
            </w:r>
          </w:p>
        </w:tc>
      </w:tr>
      <w:tr w:rsidR="00FF6CE6" w:rsidTr="00FF6CE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rPr>
                <w:b/>
                <w:bCs/>
              </w:rPr>
              <w:t>Preparat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rPr>
                <w:b/>
                <w:bCs/>
              </w:rPr>
              <w:t>Dawkowanie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rPr>
                <w:b/>
                <w:bCs/>
              </w:rPr>
              <w:t>Przeciwwskazania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rPr>
                <w:b/>
                <w:bCs/>
              </w:rPr>
              <w:t>Działania niepożądane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rPr>
                <w:b/>
                <w:bCs/>
              </w:rPr>
              <w:t>Uwagi</w:t>
            </w:r>
          </w:p>
        </w:tc>
      </w:tr>
      <w:tr w:rsidR="00FF6CE6" w:rsidTr="00FF6CE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osocze ozdrowieńców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 xml:space="preserve">200–400 ml (wg </w:t>
            </w:r>
            <w:proofErr w:type="spellStart"/>
            <w:r>
              <w:t>PTEiLChZ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– łagodny przebieg choroby</w:t>
            </w:r>
            <w:r>
              <w:br/>
              <w:t>– wystąpienie ≥1 ze stanów:</w:t>
            </w:r>
            <w:r>
              <w:br/>
              <w:t>konieczność wentylacji mechanicznej;</w:t>
            </w:r>
            <w:r>
              <w:br/>
              <w:t>wstrząs septyczny;</w:t>
            </w:r>
            <w:r>
              <w:br/>
              <w:t>niewydolność wielonarządowa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– reakcja hemolityczna</w:t>
            </w:r>
            <w:r>
              <w:br/>
              <w:t>– niehemolityczna reakcja gorączkowa</w:t>
            </w:r>
            <w:r>
              <w:br/>
              <w:t>– reakcja alergiczna (pokrzywka, anafilaksja)</w:t>
            </w:r>
            <w:r>
              <w:br/>
              <w:t>– TRALI</w:t>
            </w:r>
            <w:r>
              <w:br/>
              <w:t>– TACO</w:t>
            </w:r>
            <w:r>
              <w:br/>
              <w:t>– hipotermia</w:t>
            </w:r>
            <w:r>
              <w:br/>
              <w:t>– transmisja patogenów krwiopochodnych</w:t>
            </w:r>
            <w:r>
              <w:br/>
              <w:t>– teoretyczne ryzyko wystąpienia ADE i osłabienie długotrwałej odpowiedzi immunologicznej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 xml:space="preserve">wg </w:t>
            </w:r>
            <w:proofErr w:type="spellStart"/>
            <w:r>
              <w:t>AOTMiT</w:t>
            </w:r>
            <w:proofErr w:type="spellEnd"/>
            <w:r>
              <w:t xml:space="preserve"> stosowane na początku choroby (do 8. dnia od początku objawów) u pacjentów w ciężkim stanie</w:t>
            </w:r>
          </w:p>
        </w:tc>
      </w:tr>
      <w:tr w:rsidR="00FF6CE6" w:rsidTr="00FF6CE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immunoglobuliny anty-SARS-CoV-2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dawkowanie zależne od preparatu stosowanego w badaniu klinicznym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/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pPr>
              <w:rPr>
                <w:sz w:val="24"/>
                <w:szCs w:val="24"/>
              </w:rPr>
            </w:pPr>
            <w:r>
              <w:t>– TRALI</w:t>
            </w:r>
            <w:r>
              <w:br/>
              <w:t>– TACO</w:t>
            </w:r>
            <w:r>
              <w:br/>
              <w:t>– ADE</w:t>
            </w:r>
            <w:r>
              <w:br/>
              <w:t>– reakcje alergiczne</w:t>
            </w:r>
            <w:r>
              <w:br/>
              <w:t xml:space="preserve">– </w:t>
            </w:r>
            <w:proofErr w:type="spellStart"/>
            <w:r>
              <w:t>alloimmunizacja</w:t>
            </w:r>
            <w:proofErr w:type="spellEnd"/>
            <w:r>
              <w:t xml:space="preserve"> krwinek czerwonych</w:t>
            </w:r>
            <w:r>
              <w:br/>
              <w:t>– transmisja patogenów krwiopochodnych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zasady podania jak przy przetoczeniu preparatów immunoglobulin</w:t>
            </w:r>
          </w:p>
        </w:tc>
      </w:tr>
      <w:tr w:rsidR="00FF6CE6" w:rsidTr="00FF6CE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6CE6" w:rsidRDefault="00FF6CE6">
            <w:proofErr w:type="spellStart"/>
            <w:r>
              <w:t>mAbs</w:t>
            </w:r>
            <w:proofErr w:type="spellEnd"/>
            <w:r>
              <w:t xml:space="preserve">: </w:t>
            </w:r>
            <w:proofErr w:type="spellStart"/>
            <w:r>
              <w:t>kasiriwimab</w:t>
            </w:r>
            <w:proofErr w:type="spellEnd"/>
            <w:r>
              <w:t xml:space="preserve"> i </w:t>
            </w:r>
            <w:proofErr w:type="spellStart"/>
            <w:r>
              <w:t>imdewimab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 xml:space="preserve">1200/1200 mg w pojedynczej dawce wkrótce </w:t>
            </w:r>
            <w:r>
              <w:lastRenderedPageBreak/>
              <w:t>po rozpoznaniu zakażenia SARS-CoV-2 w ciągu 10 dni od pojawienia się pierwszych objawów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F6CE6" w:rsidRDefault="00FF6CE6">
            <w:r>
              <w:lastRenderedPageBreak/>
              <w:t xml:space="preserve">– reakcja nadwrażliwości na </w:t>
            </w:r>
            <w:r>
              <w:lastRenderedPageBreak/>
              <w:t>którykolwiek składnik leku</w:t>
            </w: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lastRenderedPageBreak/>
              <w:t>– reakcje nadwrażliwości</w:t>
            </w:r>
            <w:r>
              <w:br/>
              <w:t>– gorączka</w:t>
            </w:r>
            <w:r>
              <w:br/>
            </w:r>
            <w:r>
              <w:lastRenderedPageBreak/>
              <w:t>– dreszcze</w:t>
            </w:r>
            <w:r>
              <w:br/>
              <w:t>– pokrzywka</w:t>
            </w:r>
            <w:r>
              <w:br/>
              <w:t>– świąd skóry</w:t>
            </w:r>
            <w:r>
              <w:br/>
              <w:t>– ból brzucha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F6CE6" w:rsidRDefault="00FF6CE6">
            <w:r>
              <w:lastRenderedPageBreak/>
              <w:t>– powolny wlew – obserwacja pacjenta po przetoczeniu przez ≥1 h</w:t>
            </w:r>
            <w:r>
              <w:br/>
            </w:r>
            <w:r>
              <w:lastRenderedPageBreak/>
              <w:t>– przetoczenie w placówce medycznej z natychmiastowym dostępem do leków i sprzętu stosowanego w leczeniu ciężkich reakcji poprzetoczeniowych, w tym reakcji anafilaktycznej</w:t>
            </w:r>
            <w:r>
              <w:br/>
              <w:t>– lek nie jest zalecany u pacjentów z ciężkim przebiegiem COVID-19, wymagających wysokoprzepływowej tlenoterapii lub mechanicznej wentylacji</w:t>
            </w:r>
          </w:p>
        </w:tc>
      </w:tr>
      <w:tr w:rsidR="00FF6CE6" w:rsidTr="00FF6CE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FF6CE6" w:rsidRDefault="00FF6CE6">
            <w:proofErr w:type="spellStart"/>
            <w:r>
              <w:lastRenderedPageBreak/>
              <w:t>mAbs</w:t>
            </w:r>
            <w:proofErr w:type="spellEnd"/>
            <w:r>
              <w:t xml:space="preserve">: </w:t>
            </w:r>
            <w:proofErr w:type="spellStart"/>
            <w:r>
              <w:t>bamlaniwimab</w:t>
            </w:r>
            <w:proofErr w:type="spellEnd"/>
            <w:r>
              <w:t xml:space="preserve"> z </w:t>
            </w:r>
            <w:proofErr w:type="spellStart"/>
            <w:r>
              <w:t>etesewimabem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700 mg/1400 mg w pojedynczej dawce wkrótce po rozpoznaniu zakażenia SARS-CoV-2 w ciągu 10 dni od pojawienia się pierwszych objawów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6CE6" w:rsidRDefault="00FF6C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F6CE6" w:rsidRDefault="00FF6CE6">
            <w:r>
              <w:t>– nudności i wymioty</w:t>
            </w:r>
            <w:r>
              <w:br/>
              <w:t>– biegunka</w:t>
            </w:r>
            <w:r>
              <w:br/>
              <w:t>– zwroty głowy</w:t>
            </w:r>
            <w:r>
              <w:br/>
              <w:t>– ból głowy</w:t>
            </w:r>
            <w:r>
              <w:br/>
              <w:t>– świąd skóry</w:t>
            </w:r>
            <w:r>
              <w:br/>
              <w:t>– reakcje nadwrażliwości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F6CE6" w:rsidRDefault="00FF6CE6">
            <w:pPr>
              <w:rPr>
                <w:sz w:val="24"/>
                <w:szCs w:val="24"/>
              </w:rPr>
            </w:pPr>
          </w:p>
        </w:tc>
      </w:tr>
      <w:tr w:rsidR="00FF6CE6" w:rsidTr="00FF6CE6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FF6CE6" w:rsidRDefault="00FF6CE6">
            <w:r>
              <w:t xml:space="preserve">ADE – wzmocnienie zakażenia zależne od przeciwciał, </w:t>
            </w:r>
            <w:proofErr w:type="spellStart"/>
            <w:r>
              <w:t>AOTMiT</w:t>
            </w:r>
            <w:proofErr w:type="spellEnd"/>
            <w:r>
              <w:t xml:space="preserve"> – Agencja Oceny Technologii Medycznych i Taryfikacji, </w:t>
            </w:r>
            <w:proofErr w:type="spellStart"/>
            <w:r>
              <w:t>mAbs</w:t>
            </w:r>
            <w:proofErr w:type="spellEnd"/>
            <w:r>
              <w:t xml:space="preserve"> – przeciwciała monoklonalne, </w:t>
            </w:r>
            <w:proofErr w:type="spellStart"/>
            <w:r>
              <w:t>nAbs</w:t>
            </w:r>
            <w:proofErr w:type="spellEnd"/>
            <w:r>
              <w:t xml:space="preserve"> – przeciwciała neutralizujące, </w:t>
            </w:r>
            <w:proofErr w:type="spellStart"/>
            <w:r>
              <w:t>PTEiLChZ</w:t>
            </w:r>
            <w:proofErr w:type="spellEnd"/>
            <w:r>
              <w:t xml:space="preserve"> – Polskie Towarzystwo Epidemiologów i Lekarzy Chorób Zakaźnych, TACO – poprzetoczeniowe przeciążenie układu krążenia, TRALI – ostre poprzetoczeniowe uszkodzenie płuc</w:t>
            </w:r>
          </w:p>
        </w:tc>
      </w:tr>
    </w:tbl>
    <w:p w:rsidR="00FF6CE6" w:rsidRDefault="00FF6CE6" w:rsidP="00FF6CE6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proofErr w:type="spellStart"/>
      <w:r>
        <w:rPr>
          <w:rFonts w:ascii="Verdana" w:hAnsi="Verdana"/>
          <w:color w:val="333333"/>
          <w:sz w:val="21"/>
          <w:szCs w:val="21"/>
        </w:rPr>
        <w:t>Bamlaniwimab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i </w:t>
      </w:r>
      <w:proofErr w:type="spellStart"/>
      <w:r>
        <w:rPr>
          <w:rFonts w:ascii="Verdana" w:hAnsi="Verdana"/>
          <w:color w:val="333333"/>
          <w:sz w:val="21"/>
          <w:szCs w:val="21"/>
        </w:rPr>
        <w:t>etesewimab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oraz </w:t>
      </w:r>
      <w:proofErr w:type="spellStart"/>
      <w:r>
        <w:rPr>
          <w:rFonts w:ascii="Verdana" w:hAnsi="Verdana"/>
          <w:color w:val="333333"/>
          <w:sz w:val="21"/>
          <w:szCs w:val="21"/>
        </w:rPr>
        <w:t>kasiriwimab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i </w:t>
      </w:r>
      <w:proofErr w:type="spellStart"/>
      <w:r>
        <w:rPr>
          <w:rFonts w:ascii="Verdana" w:hAnsi="Verdana"/>
          <w:color w:val="333333"/>
          <w:sz w:val="21"/>
          <w:szCs w:val="21"/>
        </w:rPr>
        <w:t>imdewimab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są ludzkimi rekombinowanymi przeciwciałami IgG1 produkowanymi na liniach komórkowych. Znajdujące się w każdym z preparatów złożonych 2 różne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wiążą się silnie i niekonkurencyjnie z </w:t>
      </w:r>
      <w:proofErr w:type="spellStart"/>
      <w:r>
        <w:rPr>
          <w:rFonts w:ascii="Verdana" w:hAnsi="Verdana"/>
          <w:color w:val="333333"/>
          <w:sz w:val="21"/>
          <w:szCs w:val="21"/>
        </w:rPr>
        <w:t>epitopami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domeny RBD białka S SARS-CoV-2. W związku z pojawieniem się nowych wariantów SARS-CoV-2 powstało pytanie, czy te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będą wobec nich skuteczne. Wiele badań klinicznych z użyciem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przeprowadzono, zanim rozpowszechniły się warianty SARS-CoV-2, które wzbudzają obecnie zainteresowanie i są odpowiedzialne za III falę epidemii. Badania </w:t>
      </w:r>
      <w:r>
        <w:rPr>
          <w:rFonts w:ascii="Verdana" w:hAnsi="Verdana"/>
          <w:i/>
          <w:iCs/>
          <w:color w:val="333333"/>
          <w:sz w:val="21"/>
          <w:szCs w:val="21"/>
        </w:rPr>
        <w:t>in vitro</w:t>
      </w:r>
      <w:r>
        <w:rPr>
          <w:rFonts w:ascii="Verdana" w:hAnsi="Verdana"/>
          <w:color w:val="333333"/>
          <w:sz w:val="21"/>
          <w:szCs w:val="21"/>
        </w:rPr>
        <w:t xml:space="preserve"> sugerują, że preparat </w:t>
      </w:r>
      <w:proofErr w:type="spellStart"/>
      <w:r>
        <w:rPr>
          <w:rFonts w:ascii="Verdana" w:hAnsi="Verdana"/>
          <w:color w:val="333333"/>
          <w:sz w:val="21"/>
          <w:szCs w:val="21"/>
        </w:rPr>
        <w:t>bamlaniwimabu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 </w:t>
      </w:r>
      <w:proofErr w:type="spellStart"/>
      <w:r>
        <w:rPr>
          <w:rFonts w:ascii="Verdana" w:hAnsi="Verdana"/>
          <w:color w:val="333333"/>
          <w:sz w:val="21"/>
          <w:szCs w:val="21"/>
        </w:rPr>
        <w:t>etesewimabem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wykazuje aktywność przeciwko wariantowi B.1.1.7 (tzw. wariant brytyjski), ale jego aktywność może być teoretycznie zmniejszona w przypadku wariantu B.1.351.1 (wariant SARS-CoV-2 z RPA). Znaczenie kliniczne pozostaje jednak na razie nieznane. Badania z użyciem </w:t>
      </w:r>
      <w:proofErr w:type="spellStart"/>
      <w:r>
        <w:rPr>
          <w:rFonts w:ascii="Verdana" w:hAnsi="Verdana"/>
          <w:color w:val="333333"/>
          <w:sz w:val="21"/>
          <w:szCs w:val="21"/>
        </w:rPr>
        <w:t>kasiriwimabu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 </w:t>
      </w:r>
      <w:proofErr w:type="spellStart"/>
      <w:r>
        <w:rPr>
          <w:rFonts w:ascii="Verdana" w:hAnsi="Verdana"/>
          <w:color w:val="333333"/>
          <w:sz w:val="21"/>
          <w:szCs w:val="21"/>
        </w:rPr>
        <w:t>imdewimabem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wskazują natomiast, że te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razem i osobno zachowały aktywność neutralizującą wobec wariantów B.1.1.7 (wariant brytyjski), B.1.351 (wariant z RPA), P.1 (wariant z Brazylii) oraz innych wariantów z mutacjami w zakresie białka S: B.1.427/B.1.429 (wariant z Kalifornii) i B.1.526 (wariant z Nowego Jorku). Producent tego preparatu wyraził na swojej stronie internetowej opinię, że silne działanie neutralizujące stosowanych łącznie </w:t>
      </w:r>
      <w:proofErr w:type="spellStart"/>
      <w:r>
        <w:rPr>
          <w:rFonts w:ascii="Verdana" w:hAnsi="Verdana"/>
          <w:color w:val="333333"/>
          <w:sz w:val="21"/>
          <w:szCs w:val="21"/>
        </w:rPr>
        <w:t>kasiriwimabu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z </w:t>
      </w:r>
      <w:proofErr w:type="spellStart"/>
      <w:r>
        <w:rPr>
          <w:rFonts w:ascii="Verdana" w:hAnsi="Verdana"/>
          <w:color w:val="333333"/>
          <w:sz w:val="21"/>
          <w:szCs w:val="21"/>
        </w:rPr>
        <w:t>imdewimabem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prawdopodobnie zmniejsza zdolność zmutowanych wariantów do ucieczki przed leczeniem i chroni przed zakażeniem nowymi wariantami wirusa.</w:t>
      </w:r>
      <w:r>
        <w:rPr>
          <w:rFonts w:ascii="Verdana" w:hAnsi="Verdana"/>
          <w:color w:val="333333"/>
          <w:sz w:val="16"/>
          <w:szCs w:val="16"/>
          <w:vertAlign w:val="superscript"/>
        </w:rPr>
        <w:t>14</w:t>
      </w:r>
    </w:p>
    <w:p w:rsidR="00FF6CE6" w:rsidRDefault="00FF6CE6" w:rsidP="00FF6CE6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Ze stosowaniem preparatów immunoglobulin anty-SARS-CoV-2, w tym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>, wiąże się pytanie o ryzyko rozwoju wzmocnienia zakażenia zależnego od przeciwciał (ADE). W zjawisku tym kompleksy immunologiczne wirus–przeciwciało tak oddziałują z komórkami, że sprzyjają wniknięciu wirusa do ich wnętrza i zwiększają zakażenie. </w:t>
      </w:r>
      <w:r>
        <w:rPr>
          <w:rFonts w:ascii="Verdana" w:hAnsi="Verdana"/>
          <w:color w:val="333333"/>
          <w:sz w:val="16"/>
          <w:szCs w:val="16"/>
          <w:vertAlign w:val="superscript"/>
        </w:rPr>
        <w:t>2</w:t>
      </w:r>
      <w:r>
        <w:rPr>
          <w:rFonts w:ascii="Verdana" w:hAnsi="Verdana"/>
          <w:color w:val="333333"/>
          <w:sz w:val="21"/>
          <w:szCs w:val="21"/>
        </w:rPr>
        <w:t xml:space="preserve"> Choć w przypadku </w:t>
      </w:r>
      <w:proofErr w:type="spellStart"/>
      <w:r>
        <w:rPr>
          <w:rFonts w:ascii="Verdana" w:hAnsi="Verdana"/>
          <w:color w:val="333333"/>
          <w:sz w:val="21"/>
          <w:szCs w:val="21"/>
        </w:rPr>
        <w:t>koronawirusów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(w tym SARS-CoV-2) wykazano </w:t>
      </w:r>
      <w:r>
        <w:rPr>
          <w:rFonts w:ascii="Verdana" w:hAnsi="Verdana"/>
          <w:color w:val="333333"/>
          <w:sz w:val="21"/>
          <w:szCs w:val="21"/>
        </w:rPr>
        <w:lastRenderedPageBreak/>
        <w:t xml:space="preserve">możliwość ułatwienia wniknięcia do niektórych komórek układu odpornościowego (m.in. makrofagów) w mechanizmie ADE, to jak dotąd nie potwierdzono, by wirus w nich się replikował. Znaczenie tego zjawiska w przypadku </w:t>
      </w:r>
      <w:proofErr w:type="spellStart"/>
      <w:r>
        <w:rPr>
          <w:rFonts w:ascii="Verdana" w:hAnsi="Verdana"/>
          <w:color w:val="333333"/>
          <w:sz w:val="21"/>
          <w:szCs w:val="21"/>
        </w:rPr>
        <w:t>koronawirusów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pozostaje nieznane, również w kontekście leczenia mAbs.</w:t>
      </w:r>
      <w:r>
        <w:rPr>
          <w:rFonts w:ascii="Verdana" w:hAnsi="Verdana"/>
          <w:color w:val="333333"/>
          <w:sz w:val="16"/>
          <w:szCs w:val="16"/>
          <w:vertAlign w:val="superscript"/>
        </w:rPr>
        <w:t>2</w:t>
      </w:r>
    </w:p>
    <w:p w:rsidR="00FF6CE6" w:rsidRDefault="00FF6CE6" w:rsidP="00FF6CE6">
      <w:pPr>
        <w:pStyle w:val="NormalnyWeb"/>
        <w:shd w:val="clear" w:color="auto" w:fill="FFFFFF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Zastosowanie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może natomiast mieć wpływ na rozwój odpowiedzi poszczepiennej po podaniu szczepionki przeciwko COVID-19. Dlatego zaleca się, aby u osób, które otrzymały przeciwciała monoklonalne anty-SARS-CoV-2, szczepienie przeciwko COVID-19 odroczyć o ≥90 dni w celu uniknięcia niekorzystnego wpływu na rozwój odpowiedzi poszczepiennej. U osób wcześniej szczepionych, które jednak zachorują na COVID-19 i mają wskazania do wdrożenia preparatów zawierających </w:t>
      </w:r>
      <w:proofErr w:type="spellStart"/>
      <w:r>
        <w:rPr>
          <w:rFonts w:ascii="Verdana" w:hAnsi="Verdana"/>
          <w:color w:val="333333"/>
          <w:sz w:val="21"/>
          <w:szCs w:val="21"/>
        </w:rPr>
        <w:t>nAbs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, w tym </w:t>
      </w:r>
      <w:proofErr w:type="spellStart"/>
      <w:r>
        <w:rPr>
          <w:rFonts w:ascii="Verdana" w:hAnsi="Verdana"/>
          <w:color w:val="333333"/>
          <w:sz w:val="21"/>
          <w:szCs w:val="21"/>
        </w:rPr>
        <w:t>mAbs</w:t>
      </w:r>
      <w:proofErr w:type="spellEnd"/>
      <w:r>
        <w:rPr>
          <w:rFonts w:ascii="Verdana" w:hAnsi="Verdana"/>
          <w:color w:val="333333"/>
          <w:sz w:val="21"/>
          <w:szCs w:val="21"/>
        </w:rPr>
        <w:t>, wcześniejsza immunizacja nie ma wpływu na ich zastosowanie w terapii zakażenia SARS-CoV-2.</w:t>
      </w:r>
      <w:r>
        <w:rPr>
          <w:rFonts w:ascii="Verdana" w:hAnsi="Verdana"/>
          <w:color w:val="333333"/>
          <w:sz w:val="16"/>
          <w:szCs w:val="16"/>
          <w:vertAlign w:val="superscript"/>
        </w:rPr>
        <w:t>15</w:t>
      </w:r>
    </w:p>
    <w:p w:rsidR="00FF6CE6" w:rsidRDefault="00FF6CE6" w:rsidP="00FF6CE6">
      <w:pPr>
        <w:pStyle w:val="Nagwek4"/>
        <w:shd w:val="clear" w:color="auto" w:fill="FFFFFF"/>
        <w:spacing w:before="0" w:after="15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Piśmiennictwo:</w:t>
      </w:r>
    </w:p>
    <w:p w:rsidR="008117D3" w:rsidRPr="008117D3" w:rsidRDefault="008117D3" w:rsidP="00811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1.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Yamada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T.: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Therapeutic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monoclonal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antibodies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Keio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J. Med., 2011; 60: 37–46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2. Taylor A.,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Foo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S.S.,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Bruzzone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R. i 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Fc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receptors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-dependent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enhancement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viral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infections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Immunological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reviews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, 2015; 268: 340–364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3. Li F.: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Structure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function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and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evolution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coronavirus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Spike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proteins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Annu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Rev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Virol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., 2016; 3: 237–261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4.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Jiang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S.,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Hillyer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Du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L.: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Neutralizing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antibodies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against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SARS-CoV-2 and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other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human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coronaviruses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Trends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Immunol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., 2020; 41: 355–359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5.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Wang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Y.,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Zhang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L.,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Sang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L. i 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Kinetics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viral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load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and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response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relation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to 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severity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J.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Clin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Invest., 2020; 130: 5235–5244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6.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Libster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R.,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Pérez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Marc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G.,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Wappner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D. i 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.;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Fundación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INFANT–COVID-19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Group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Early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high-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titer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plasma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therapy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to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prevent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severe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Covid-19 in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older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adults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N.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Engl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J. Med., 2021; 384: 610–618.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7.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Flisiak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R., Parczewski M.,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Horban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A. i 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Zalecenia diagnostyki i terapii zakażeń SARS-CoV-2 Polskiego Towarzystwa Epidemiologów i Lekarzy Chorób Zakaźnych z dnia 13 października 2020 roku. Aneks # 2 do rekomendacji z 31 marca 2020 roku. Med.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Prakt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., 2020; 11: 51–58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>8. Agencja Oceny Technologii Medycznych i Taryfikacji: Farmakoterapia COVID-19-aktualizacja. Wersja 2.2. 23.03.2021. https://www.aotm.gov.pl/media/2021/03/Farmakoterapia-COVID-19-Aktualizacja-wersja-2.2-23-marca-2021-r.pdf (dostęp: 26.03.2021)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9.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Janiaud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P.,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Axfors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C., Schmitt A.M. i 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Association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convalescent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plasma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clinical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outcomes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COVID-19: a 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systematic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review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and meta-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analysis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JAMA, 2021; 325: 1185–1195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10.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National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Institutes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Health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guidelines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The 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Guidelines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Panel’s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Statement on the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Emergency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Authorization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the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Bamlanivimab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Plus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Etesevimab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Combination for the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COVID-19. 02.03.2021. https://www. covid19treatmentguidelines.nih.gov/statement-on-bamlanivimab-plus-etesevimab-eua/ (dostęp: 26.03.2021)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11.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National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Institutes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Health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guidelines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The 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Guidelines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Anti-SARS0CoV-2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Monoclonal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Antibidies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11.02.2021. https:// www.covid19treatmentguidelines.nih.gov/anti-sars-cov-2-antibody-products/anti-sars-cov-2-monoclonal-antibodies/ (dostęp: 26.03.2021)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12.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European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Medicines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Agency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EMA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issues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advice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on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REGN-COV2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combination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(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casirivimab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/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imdevimab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). 26.02.2021. https://www.ema.europa.eu/en/news/ ema-issues-advice-use-regn-cov2-antibody-combination-casirivimab-imdevimab (dostęp: 26.03.2021)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lastRenderedPageBreak/>
        <w:t xml:space="preserve">13.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European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Medicines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Agency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EMA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issues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advice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on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combination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(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bamlanivimab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/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etesevimab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). 05.03.2021. https://www.ema.europa.eu/en/news/ema-issues-advice-use-antibody-combination-bamlanivimab-etesevimab (dostęp: 26.03.2021)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14. Roche: New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phase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III data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shows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investigational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antibody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cocktail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casirivimab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and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imdevimab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reduced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hospitalisation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or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death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by 70% in non-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hospitalised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COVID-19. https://www.roche.com/media/releases/med-cor-2021-03-23.htm (dostęp: 26.03.2021)</w:t>
      </w:r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15.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National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Institutes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Health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: The COVID-19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Guidelines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Panel’s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Statement on the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Emergency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Authorization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the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Bamlanivimab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Plus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Etesevimab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Combination for the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COVID-19. 02.03.2021. https://www.covid19treatmentguidelines.nih. 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gov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/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statement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-on-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bamlanivimab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-plus-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etesevimab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-</w:t>
      </w:r>
      <w:proofErr w:type="spellStart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eua</w:t>
      </w:r>
      <w:proofErr w:type="spellEnd"/>
      <w:r w:rsidRPr="008117D3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/ (dostęp: 26.03.2021)</w:t>
      </w:r>
    </w:p>
    <w:p w:rsidR="00FF6CE6" w:rsidRPr="00311E42" w:rsidRDefault="00FF6CE6" w:rsidP="00311E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D96A91" w:rsidRDefault="00D96A91"/>
    <w:sectPr w:rsidR="00D9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42"/>
    <w:rsid w:val="00311E42"/>
    <w:rsid w:val="008117D3"/>
    <w:rsid w:val="00D96A91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E4B"/>
  <w15:chartTrackingRefBased/>
  <w15:docId w15:val="{C7DF2812-8EAD-47DA-BBBA-F7B6EDD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1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C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E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1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11E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1E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E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406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p.pl/covid19/leczenie/263371,osocze-ozdrowiencow-w-leczeniu-chorych-na-covid-19-przeglad-systematyczny" TargetMode="External"/><Relationship Id="rId4" Type="http://schemas.openxmlformats.org/officeDocument/2006/relationships/hyperlink" Target="https://www.mp.pl/covid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2828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3</cp:revision>
  <dcterms:created xsi:type="dcterms:W3CDTF">2021-04-12T19:20:00Z</dcterms:created>
  <dcterms:modified xsi:type="dcterms:W3CDTF">2021-04-12T19:22:00Z</dcterms:modified>
</cp:coreProperties>
</file>