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29" w:rsidRPr="00425A29" w:rsidRDefault="00425A29" w:rsidP="00425A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425A2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EMA: szczepienie przeciwko COVID-19 kobiet w ciąży jest bezpieczne</w:t>
      </w:r>
    </w:p>
    <w:p w:rsidR="00425A29" w:rsidRPr="00425A29" w:rsidRDefault="00425A29" w:rsidP="00425A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19.01.2022</w:t>
      </w:r>
    </w:p>
    <w:p w:rsidR="00425A29" w:rsidRPr="00425A29" w:rsidRDefault="00425A29" w:rsidP="00425A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COVID-19: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latest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safety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data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provide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reassurance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about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use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mRNA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during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pregnancy. </w:t>
      </w:r>
      <w:hyperlink r:id="rId4" w:history="1">
        <w:r w:rsidRPr="00425A29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www.ema.europa.eu/en/news/covid-19-latest-safety-data-provide-reassurance-about-use-mrna-vaccines-during-pregnancy</w:t>
        </w:r>
      </w:hyperlink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19.01.2022)</w:t>
      </w:r>
    </w:p>
    <w:p w:rsidR="00425A29" w:rsidRPr="00425A29" w:rsidRDefault="00425A29" w:rsidP="00425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425A2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Kobiety w ciąży i w okresie połogu należą do grupy ryzyka ciężkiego przebiegu COVID-19. Zachorowanie na COVID-19 ciężarnej może także zwiększać ryzyko porodu przedwczesnego, urodzenia martwego dziecka oraz innych powikłań ciąży. Towarzystwa naukowe na całym świecie, m.in. </w:t>
      </w:r>
      <w:proofErr w:type="spellStart"/>
      <w:r w:rsidRPr="00425A2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Royal</w:t>
      </w:r>
      <w:proofErr w:type="spellEnd"/>
      <w:r w:rsidRPr="00425A2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College of </w:t>
      </w:r>
      <w:proofErr w:type="spellStart"/>
      <w:r w:rsidRPr="00425A2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Obstetricians</w:t>
      </w:r>
      <w:proofErr w:type="spellEnd"/>
      <w:r w:rsidRPr="00425A2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Gynaecologists</w:t>
      </w:r>
      <w:proofErr w:type="spellEnd"/>
      <w:r w:rsidRPr="00425A2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(RCOG) oraz American College of </w:t>
      </w:r>
      <w:proofErr w:type="spellStart"/>
      <w:r w:rsidRPr="00425A2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Obstetricians</w:t>
      </w:r>
      <w:proofErr w:type="spellEnd"/>
      <w:r w:rsidRPr="00425A2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Gynecologists</w:t>
      </w:r>
      <w:proofErr w:type="spellEnd"/>
      <w:r w:rsidRPr="00425A2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(ACOG), jednoznacznie zalecają szczepienie przeciwko COVID-19 każdej ciężarnej, niezależnie od trymestru ciąży. RCOG podkreśla, że optymalnie pełne szczepienie podstawowe należy ukończyć przed rozpoczęciem III trymestru, kiedy ryzyko ciężkiego przebiegu COVID-19 u ciężarnych znacznie się zwiększa.</w:t>
      </w:r>
    </w:p>
    <w:p w:rsidR="00425A29" w:rsidRPr="00425A29" w:rsidRDefault="00425A29" w:rsidP="00425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425A2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Grupa robocza ds. COVID-19 działająca przy Europejskiej Agencji Leków (EMA) w opublikowanym stanowisku podkreśla, że dysponujemy również coraz większą liczbą danych naukowych potwierdzających bezpieczeństwo szczepienia przeciwko COVID-19 zarówno dla samej ciężarnej, jak i jej potomstwa.</w:t>
      </w:r>
    </w:p>
    <w:p w:rsidR="00425A29" w:rsidRPr="00425A29" w:rsidRDefault="00425A29" w:rsidP="00425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425A2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Eksperci przeanalizowali wyniki kilkunastu badań oceniających bezpieczeństwo szczepienia przeciwko COVID-19 (głównie preparatami mRNA, tj. </w:t>
      </w:r>
      <w:proofErr w:type="spellStart"/>
      <w:r w:rsidRPr="00425A2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425A2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firmy </w:t>
      </w:r>
      <w:proofErr w:type="spellStart"/>
      <w:r w:rsidRPr="00425A2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425A2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</w:t>
      </w:r>
      <w:proofErr w:type="spellStart"/>
      <w:r w:rsidRPr="00425A2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BioNTech</w:t>
      </w:r>
      <w:proofErr w:type="spellEnd"/>
      <w:r w:rsidRPr="00425A2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lub </w:t>
      </w:r>
      <w:proofErr w:type="spellStart"/>
      <w:r w:rsidRPr="00425A2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425A2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firmy Moderna), które łącznie obejmowały populację ponad 65 000 ciężarnych w różnym trymestrze. W żadnym z tych badań nie pojawiły się niepokojące sygnały dotyczące ryzyka powikłań ciąży, samoistnego poronienia, porodu przedwczesnego lub niekorzystnych następstw dla dziecka. Najczęściej obserwowano typowe miejsce i ogólnoustrojowe niepożądane odczyny poszczepienne (ból, zaczerwienienie, obrzęk w miejscu wstrzyknięcia, osłabienie, ból głowy, mięśni, dreszcze), które zazwyczaj miały łagodne lub umiarkowane nasilenie i ustępowały w ciągu kilku dni. Dostępne dane dowodzą również, że szczepienie przeciwko COVID-19 zmniejsza ryzyko hospitalizacji i zgonu z powodu tej choroby u ciężarnych, podobnie jak u kobiet niebędących w ciąży.</w:t>
      </w:r>
    </w:p>
    <w:p w:rsidR="00425A29" w:rsidRPr="00425A29" w:rsidRDefault="00425A29" w:rsidP="00425A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425A29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EMA podkreśla, że korzyści ze szczepienia przeciwko COVID-19 ciężarnych przewyższają jakiekolwiek potencjalne ryzyko z nim związane, zarówno dla ciężarnej, jak i jej potomstwa. Na podstawie dostępnych danych Komitet ds. Produktów Leczniczych Stosowanych u Ludzi (CHMP) działający przy EMA rozważy aktualizację Charakterystyki Produktu Leczniczego szczepionek mRNA o zalecenie szczepienia w okresie ciąży.</w:t>
      </w:r>
    </w:p>
    <w:p w:rsidR="00425A29" w:rsidRPr="00425A29" w:rsidRDefault="00425A29" w:rsidP="00425A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1. American College of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Obstetricians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Gynecologists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considerations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for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obstetric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–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gynecologic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care. </w:t>
      </w:r>
      <w:hyperlink r:id="rId5" w:tgtFrame="blank" w:history="1">
        <w:r w:rsidRPr="00425A29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www.acog.org/clinical/clinical-guidance/practice-advisory/articles/2020/12/covid-19-vaccination-considerations-for-obstetric-gynecologic-care</w:t>
        </w:r>
      </w:hyperlink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19.01.2021)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2.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Royal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College of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Obstetricians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Gynaecologists. </w:t>
      </w:r>
      <w:hyperlink r:id="rId6" w:tgtFrame="blank" w:history="1">
        <w:r w:rsidRPr="00425A29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www.rcog.org.uk/en/guidelines-research-services/coronavirus-covid-19-pregnancy-and-womens-health/covid-19-vaccines-and-pregnancy/covid-19-vaccines-pregnancy-and-breastfeeding/</w:t>
        </w:r>
      </w:hyperlink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19.01.2021)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3.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Kachikis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Englund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J.A., Singleton M. i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Short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-term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reactions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among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lactating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individuals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the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first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wave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the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Rollout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JAMA Network Open., 2021; 4 (8): e2121310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4.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Zauche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L.H.,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Wallace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B.,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Smoots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A.N. i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Receipt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mRNA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risk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spontaneous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abortion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N.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Engl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J. Med. 2021; 385: 1533–1535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5. Magnus M.C.,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Gjessing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H.K.,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Eide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H.N. i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during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first-trimester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miscarriage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N.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Engl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J. Med., 2021; 385 (21): 2008–2010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6.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Kharbanda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E.O.,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Haapala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J.,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DeSilva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M. i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Spontaneous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abortion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following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during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JAMA, 2021; 326 (16): 1629–1631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7.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Wainstock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T.,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Yoles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Sergienko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R.,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Sheiner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E.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Prenatal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maternal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outcomes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, 2021; 39 (41): 6037–6040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lastRenderedPageBreak/>
        <w:t xml:space="preserve">8.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Bookstein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Peretz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S.,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Regev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N.,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Novick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L. i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Short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-term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outcome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women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vaccinated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with BNT162b2 mRNA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Ultrasound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Obstet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Gynecol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., 2021; 58 (3): 450–456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9.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Rottenstreich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M.,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Sela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H.Y.,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Rotem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R. i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during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the third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trimester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: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rate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maternal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neonatal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outcomes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, a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multicentre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retrospective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cohort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study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BJOG, 2022; 129 (2): 248–255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10.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Blakeway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H.,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Prasad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S.,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Kalafat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E. i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during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: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coverage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safety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Am. J.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Obstet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Gynecol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., 2021: S0002-9378 (21)00873-5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11. UK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Health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Security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Agency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surveillance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report.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Week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47. 25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November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2021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12.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Theiler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R.N., Wick M., Mehta R. i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birth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outcomes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after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SARS-CoV-2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Am. J.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Obstet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Gynecol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., 2021; 3 (6): 100467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13.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Trostle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M.E.,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Limaye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M.A.,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Avtushka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V. i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vaccination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: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early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experience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from a single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institution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Am. J.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Obstet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Gynecol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., 2021; 3 (6): 100464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14.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Shimabukuro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T.T., Kim S.Y.,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Myers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T.R. i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.: CDC v-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safe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Registry Team. Preliminary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findings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mRNA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safety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persons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N.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Engl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J. Med., 2021; 384 (24): 2273–2282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15.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Lipkind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H.S.,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Vazquez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-Benitez G.,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DeSilva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M. i 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wsp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.:.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Receipt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during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preterm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or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Small-for-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Gestational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-Age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birth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-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eight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integrated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health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care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organizations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, United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States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,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December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15, 2020–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July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22, 2021. MMWR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Morb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Mortal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Wkly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Rep., 2022; 71 (1): 26–30</w:t>
      </w:r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br/>
        <w:t xml:space="preserve">16. ACIP Presentation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Slides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: Sept 22–23, 2021 Meeting.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safety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in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pregnancy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: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updates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from the v-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safe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COVID-19 </w:t>
      </w:r>
      <w:proofErr w:type="spellStart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</w:t>
      </w:r>
      <w:proofErr w:type="spellEnd"/>
      <w:r w:rsidRPr="00425A29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Sept 22, 2021</w:t>
      </w:r>
    </w:p>
    <w:p w:rsidR="00626805" w:rsidRDefault="00626805">
      <w:bookmarkStart w:id="0" w:name="_GoBack"/>
      <w:bookmarkEnd w:id="0"/>
    </w:p>
    <w:sectPr w:rsidR="0062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29"/>
    <w:rsid w:val="00425A29"/>
    <w:rsid w:val="0062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4E1AA-0553-4679-BA9B-3E82AD71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5A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5A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og.org.uk/en/guidelines-research-services/coronavirus-covid-19-pregnancy-and-womens-health/covid-19-vaccines-and-pregnancy/covid-19-vaccines-pregnancy-and-breastfeeding/" TargetMode="External"/><Relationship Id="rId5" Type="http://schemas.openxmlformats.org/officeDocument/2006/relationships/hyperlink" Target="https://www.acog.org/clinical/clinical-guidance/practice-advisory/articles/2020/12/covid-19-vaccination-considerations-for-obstetric-gynecologic-care" TargetMode="External"/><Relationship Id="rId4" Type="http://schemas.openxmlformats.org/officeDocument/2006/relationships/hyperlink" Target="https://www.ema.europa.eu/en/news/covid-19-latest-safety-data-provide-reassurance-about-use-mrna-vaccines-during-pregnan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2022-01-24T19:30:00Z</dcterms:created>
  <dcterms:modified xsi:type="dcterms:W3CDTF">2022-01-24T19:32:00Z</dcterms:modified>
</cp:coreProperties>
</file>